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0" w:afterAutospacing="0"/>
      </w:pPr>
      <w:r>
        <w:rPr>
          <w:rFonts w:hint="eastAsia"/>
        </w:rPr>
        <w:t>北京市建设工程招标投标和造价管理协会</w:t>
      </w:r>
    </w:p>
    <w:p>
      <w:pPr>
        <w:pStyle w:val="9"/>
      </w:pPr>
      <w:bookmarkStart w:id="0" w:name="_Toc521768943"/>
      <w:r>
        <w:rPr>
          <w:rFonts w:hint="eastAsia"/>
        </w:rPr>
        <w:t>单位会员年度积分管理办法</w:t>
      </w:r>
      <w:bookmarkEnd w:id="0"/>
    </w:p>
    <w:p>
      <w:pPr>
        <w:spacing w:line="360" w:lineRule="auto"/>
        <w:ind w:firstLine="560"/>
      </w:pPr>
      <w:r>
        <w:rPr>
          <w:rFonts w:hint="eastAsia"/>
        </w:rPr>
        <w:t>为贯彻协会宗旨，规范会员管理工作，促进行业建设发展，完善激励机制，进一步提高会员参与协会活动的积极性，拟对单位会员实行积分制管理，特制定本办法。</w:t>
      </w:r>
    </w:p>
    <w:p>
      <w:pPr>
        <w:pStyle w:val="11"/>
        <w:spacing w:line="360" w:lineRule="auto"/>
      </w:pPr>
      <w:r>
        <w:rPr>
          <w:rFonts w:hint="eastAsia"/>
        </w:rPr>
        <w:t>第一章 积分类别及标准</w:t>
      </w:r>
    </w:p>
    <w:p>
      <w:pPr>
        <w:pStyle w:val="10"/>
        <w:spacing w:line="360" w:lineRule="auto"/>
        <w:ind w:firstLine="562"/>
      </w:pPr>
      <w:r>
        <w:rPr>
          <w:rFonts w:hint="eastAsia"/>
        </w:rPr>
        <w:t>一、会务积分</w:t>
      </w:r>
    </w:p>
    <w:p>
      <w:pPr>
        <w:spacing w:line="360" w:lineRule="auto"/>
        <w:ind w:firstLine="560"/>
      </w:pPr>
      <w:r>
        <w:rPr>
          <w:rFonts w:hint="eastAsia"/>
        </w:rPr>
        <w:t>第一条 积极参加协会组织的会员代表大会、理事会、常务理事会、会长办公会等重要会议。</w:t>
      </w:r>
    </w:p>
    <w:p>
      <w:pPr>
        <w:spacing w:line="360" w:lineRule="auto"/>
        <w:ind w:firstLine="560"/>
      </w:pPr>
      <w:r>
        <w:rPr>
          <w:rFonts w:hint="eastAsia"/>
        </w:rPr>
        <w:t>1.会员代表大会：会员代表本人参会的每次记10分，派员参会的每次记2分。</w:t>
      </w:r>
    </w:p>
    <w:p>
      <w:pPr>
        <w:spacing w:line="360" w:lineRule="auto"/>
        <w:ind w:firstLine="560"/>
      </w:pPr>
      <w:r>
        <w:rPr>
          <w:rFonts w:hint="eastAsia"/>
        </w:rPr>
        <w:t>2.理事会：理事本人参会的每次记12分，派员参会的每次记3分。</w:t>
      </w:r>
    </w:p>
    <w:p>
      <w:pPr>
        <w:spacing w:line="360" w:lineRule="auto"/>
        <w:ind w:firstLine="560"/>
      </w:pPr>
      <w:r>
        <w:rPr>
          <w:rFonts w:hint="eastAsia"/>
        </w:rPr>
        <w:t>3.常务理事会：常务理事本人参会的每次记16分，派员参会的每次记4分。</w:t>
      </w:r>
    </w:p>
    <w:p>
      <w:pPr>
        <w:spacing w:line="360" w:lineRule="auto"/>
        <w:ind w:firstLine="560"/>
      </w:pPr>
      <w:r>
        <w:rPr>
          <w:rFonts w:hint="eastAsia"/>
        </w:rPr>
        <w:t>4.会长办公会：副会长本人参会的每次记20分，派员参会的每次记5分。</w:t>
      </w:r>
    </w:p>
    <w:p>
      <w:pPr>
        <w:spacing w:line="360" w:lineRule="auto"/>
        <w:ind w:firstLine="560"/>
      </w:pPr>
      <w:r>
        <w:rPr>
          <w:rFonts w:hint="eastAsia"/>
        </w:rPr>
        <w:t>5.参加其他涉及协会建设发展的重要会议记10分。</w:t>
      </w:r>
    </w:p>
    <w:p>
      <w:pPr>
        <w:spacing w:line="360" w:lineRule="auto"/>
        <w:ind w:firstLine="560"/>
      </w:pPr>
      <w:r>
        <w:rPr>
          <w:rFonts w:hint="eastAsia"/>
        </w:rPr>
        <w:t>第二条 积极参加协会组织的各类专题会议、座谈会，每次记10分。提出针对性的意见或建议，每次记</w:t>
      </w:r>
      <w:r>
        <w:t>2分，意见或建议被采纳的每条记3分</w:t>
      </w:r>
      <w:r>
        <w:rPr>
          <w:rFonts w:hint="eastAsia"/>
        </w:rPr>
        <w:t>。</w:t>
      </w:r>
    </w:p>
    <w:p>
      <w:pPr>
        <w:pStyle w:val="10"/>
        <w:spacing w:line="360" w:lineRule="auto"/>
        <w:ind w:firstLine="562"/>
      </w:pPr>
      <w:r>
        <w:rPr>
          <w:rFonts w:hint="eastAsia"/>
        </w:rPr>
        <w:t>二、会员活动积分</w:t>
      </w:r>
    </w:p>
    <w:p>
      <w:pPr>
        <w:spacing w:line="360" w:lineRule="auto"/>
        <w:ind w:firstLine="560"/>
      </w:pPr>
      <w:r>
        <w:rPr>
          <w:rFonts w:hint="eastAsia"/>
        </w:rPr>
        <w:t>第三条 积极参加协会组织的各类公益活动（包括捐款、捐物、赞助和公益讲座等），每参与一次记10分。</w:t>
      </w:r>
    </w:p>
    <w:p>
      <w:pPr>
        <w:spacing w:line="360" w:lineRule="auto"/>
        <w:ind w:firstLine="560"/>
      </w:pPr>
      <w:r>
        <w:rPr>
          <w:rFonts w:hint="eastAsia"/>
        </w:rPr>
        <w:t>第四条 参加协会组织境内交流考察每次记10分,境外交流考察每次记15分。</w:t>
      </w:r>
    </w:p>
    <w:p>
      <w:pPr>
        <w:spacing w:line="360" w:lineRule="auto"/>
        <w:ind w:firstLine="560"/>
      </w:pPr>
      <w:r>
        <w:rPr>
          <w:rFonts w:hint="eastAsia"/>
        </w:rPr>
        <w:t>第五条 接待协会实地调查访问，每次记20分。</w:t>
      </w:r>
    </w:p>
    <w:p>
      <w:pPr>
        <w:spacing w:line="360" w:lineRule="auto"/>
        <w:ind w:firstLine="560"/>
      </w:pPr>
      <w:r>
        <w:rPr>
          <w:rFonts w:hint="eastAsia"/>
        </w:rPr>
        <w:t>第六条 接待协会安排的会员交流活动，来访10人以内记10分，10人以上每增加一人加1分，总计不超过30分。</w:t>
      </w:r>
    </w:p>
    <w:p>
      <w:pPr>
        <w:spacing w:line="360" w:lineRule="auto"/>
        <w:ind w:firstLine="560"/>
      </w:pPr>
      <w:r>
        <w:rPr>
          <w:rFonts w:hint="eastAsia"/>
        </w:rPr>
        <w:t>第七条 积极参加协会的文艺演出表演等联谊活动，报名参与的单位记10分，成功入围单位记15分, 获得优秀组织奖记</w:t>
      </w:r>
      <w:r>
        <w:t>2</w:t>
      </w:r>
      <w:r>
        <w:rPr>
          <w:rFonts w:hint="eastAsia"/>
        </w:rPr>
        <w:t>0分，获得二等奖记</w:t>
      </w:r>
      <w:r>
        <w:t>2</w:t>
      </w:r>
      <w:r>
        <w:rPr>
          <w:rFonts w:hint="eastAsia"/>
        </w:rPr>
        <w:t>5分，获得一等奖记</w:t>
      </w:r>
      <w:r>
        <w:t>3</w:t>
      </w:r>
      <w:r>
        <w:rPr>
          <w:rFonts w:hint="eastAsia"/>
        </w:rPr>
        <w:t>0分。</w:t>
      </w:r>
    </w:p>
    <w:p>
      <w:pPr>
        <w:spacing w:line="360" w:lineRule="auto"/>
        <w:ind w:firstLine="560"/>
      </w:pPr>
      <w:r>
        <w:rPr>
          <w:rFonts w:hint="eastAsia"/>
        </w:rPr>
        <w:t>第八条 积极参加协会组织的体育活动，报名参与的单位记10分，获得优秀组织奖记2</w:t>
      </w:r>
      <w:r>
        <w:t>0</w:t>
      </w:r>
      <w:r>
        <w:rPr>
          <w:rFonts w:hint="eastAsia"/>
        </w:rPr>
        <w:t>分，获得展示项目优秀奖记2</w:t>
      </w:r>
      <w:r>
        <w:t>0</w:t>
      </w:r>
      <w:r>
        <w:rPr>
          <w:rFonts w:hint="eastAsia"/>
        </w:rPr>
        <w:t>分；团体奖三等奖记2</w:t>
      </w:r>
      <w:r>
        <w:t>0</w:t>
      </w:r>
      <w:r>
        <w:rPr>
          <w:rFonts w:hint="eastAsia"/>
        </w:rPr>
        <w:t>分，团体奖二等奖记2</w:t>
      </w:r>
      <w:r>
        <w:t>5</w:t>
      </w:r>
      <w:r>
        <w:rPr>
          <w:rFonts w:hint="eastAsia"/>
        </w:rPr>
        <w:t>分，团体奖一等奖记3</w:t>
      </w:r>
      <w:r>
        <w:t>0</w:t>
      </w:r>
      <w:r>
        <w:rPr>
          <w:rFonts w:hint="eastAsia"/>
        </w:rPr>
        <w:t>分；单项奖团体或个人三等奖记1</w:t>
      </w:r>
      <w:r>
        <w:t>5</w:t>
      </w:r>
      <w:r>
        <w:rPr>
          <w:rFonts w:hint="eastAsia"/>
        </w:rPr>
        <w:t>分，单项奖团体或个人二等奖记2</w:t>
      </w:r>
      <w:r>
        <w:t>0</w:t>
      </w:r>
      <w:r>
        <w:rPr>
          <w:rFonts w:hint="eastAsia"/>
        </w:rPr>
        <w:t>分，单项奖团体或个人一等奖记2</w:t>
      </w:r>
      <w:r>
        <w:t>5</w:t>
      </w:r>
      <w:r>
        <w:rPr>
          <w:rFonts w:hint="eastAsia"/>
        </w:rPr>
        <w:t>分。</w:t>
      </w:r>
    </w:p>
    <w:p>
      <w:pPr>
        <w:spacing w:line="360" w:lineRule="auto"/>
        <w:ind w:firstLine="560"/>
      </w:pPr>
      <w:r>
        <w:rPr>
          <w:rFonts w:hint="eastAsia"/>
        </w:rPr>
        <w:t>第九条 积极参加协会组织的各类知识竞赛，报名参与的单位记10分，获得优秀组织奖记20分；团体或个人优秀奖记15分，团体或个人三等奖记2</w:t>
      </w:r>
      <w:r>
        <w:t>0</w:t>
      </w:r>
      <w:r>
        <w:rPr>
          <w:rFonts w:hint="eastAsia"/>
        </w:rPr>
        <w:t>分，团体或个人二等奖记2</w:t>
      </w:r>
      <w:r>
        <w:t>5</w:t>
      </w:r>
      <w:r>
        <w:rPr>
          <w:rFonts w:hint="eastAsia"/>
        </w:rPr>
        <w:t>分，团体或个人一等奖记3</w:t>
      </w:r>
      <w:r>
        <w:t>0</w:t>
      </w:r>
      <w:r>
        <w:rPr>
          <w:rFonts w:hint="eastAsia"/>
        </w:rPr>
        <w:t>分。</w:t>
      </w:r>
    </w:p>
    <w:p>
      <w:pPr>
        <w:spacing w:line="360" w:lineRule="auto"/>
        <w:ind w:firstLine="560"/>
      </w:pPr>
      <w:r>
        <w:rPr>
          <w:rFonts w:hint="eastAsia"/>
        </w:rPr>
        <w:t>第十条  积极参加协会组织的其他各类会员活动，每参与一次记</w:t>
      </w:r>
      <w:r>
        <w:t>10分</w:t>
      </w:r>
      <w:r>
        <w:rPr>
          <w:rFonts w:hint="eastAsia"/>
        </w:rPr>
        <w:t>。</w:t>
      </w:r>
    </w:p>
    <w:p>
      <w:pPr>
        <w:pStyle w:val="10"/>
        <w:spacing w:line="360" w:lineRule="auto"/>
        <w:ind w:firstLine="562"/>
      </w:pPr>
      <w:r>
        <w:rPr>
          <w:rFonts w:hint="eastAsia"/>
        </w:rPr>
        <w:t>三、培训积分</w:t>
      </w:r>
    </w:p>
    <w:p>
      <w:pPr>
        <w:spacing w:line="360" w:lineRule="auto"/>
        <w:ind w:firstLine="560"/>
      </w:pPr>
      <w:r>
        <w:rPr>
          <w:rFonts w:hint="eastAsia"/>
        </w:rPr>
        <w:t>第十条 协会组织的免费培训每人次参与一次记1分，单次最高20分。</w:t>
      </w:r>
    </w:p>
    <w:p>
      <w:pPr>
        <w:spacing w:line="360" w:lineRule="auto"/>
        <w:ind w:firstLine="560"/>
      </w:pPr>
      <w:r>
        <w:rPr>
          <w:rFonts w:hint="eastAsia"/>
        </w:rPr>
        <w:t>第十一条 协会组织的收费培训每人次记2分，单次最高40分。</w:t>
      </w:r>
    </w:p>
    <w:p>
      <w:pPr>
        <w:pStyle w:val="10"/>
        <w:spacing w:line="360" w:lineRule="auto"/>
        <w:ind w:firstLine="562"/>
      </w:pPr>
      <w:r>
        <w:rPr>
          <w:rFonts w:hint="eastAsia"/>
        </w:rPr>
        <w:t>四、会费积分</w:t>
      </w:r>
    </w:p>
    <w:p>
      <w:pPr>
        <w:spacing w:line="360" w:lineRule="auto"/>
        <w:ind w:firstLine="560"/>
      </w:pPr>
      <w:r>
        <w:rPr>
          <w:rFonts w:hint="eastAsia"/>
        </w:rPr>
        <w:t>第十二条 每年3月31号之前缴纳会费，记30分；4月1日至6月30日缴纳的，记20分；7月1日至9月30日缴纳的，记10分。10月1日后交费的，记5分。</w:t>
      </w:r>
    </w:p>
    <w:p>
      <w:pPr>
        <w:pStyle w:val="10"/>
        <w:spacing w:line="360" w:lineRule="auto"/>
        <w:ind w:firstLine="562"/>
      </w:pPr>
      <w:r>
        <w:rPr>
          <w:rFonts w:hint="eastAsia"/>
        </w:rPr>
        <w:t>五、其它</w:t>
      </w:r>
    </w:p>
    <w:p>
      <w:pPr>
        <w:spacing w:line="360" w:lineRule="auto"/>
        <w:ind w:firstLine="560"/>
      </w:pPr>
      <w:r>
        <w:rPr>
          <w:rFonts w:hint="eastAsia"/>
        </w:rPr>
        <w:t>第十三条 参与协会组织的行业调研或参编行业规范，每次记10-</w:t>
      </w:r>
      <w:r>
        <w:t>30</w:t>
      </w:r>
      <w:r>
        <w:rPr>
          <w:rFonts w:hint="eastAsia"/>
        </w:rPr>
        <w:t>分。</w:t>
      </w:r>
    </w:p>
    <w:p>
      <w:pPr>
        <w:spacing w:line="360" w:lineRule="auto"/>
        <w:ind w:firstLine="560"/>
      </w:pPr>
      <w:r>
        <w:rPr>
          <w:rFonts w:hint="eastAsia"/>
        </w:rPr>
        <w:t>第十四条 积极签署北京市建设工程招标投标和造价管理协会行业自律公约并履行相关义务，记20分。</w:t>
      </w:r>
    </w:p>
    <w:p>
      <w:pPr>
        <w:spacing w:line="360" w:lineRule="auto"/>
        <w:ind w:firstLine="560"/>
      </w:pPr>
      <w:r>
        <w:rPr>
          <w:rFonts w:hint="eastAsia"/>
        </w:rPr>
        <w:t>第十五条 踊跃为协会期刊投稿，经审核达到刊登标准的，每篇稿件字数在</w:t>
      </w:r>
      <w:r>
        <w:t>2000字以内记5分，每增加1000字加3分，每篇稿件最高记10分；未通过审核的，每篇记2分。提供工程案例信息的，每篇记20分</w:t>
      </w:r>
      <w:r>
        <w:rPr>
          <w:rFonts w:hint="eastAsia"/>
        </w:rPr>
        <w:t>；为协会组织的其他征文活动投稿，每篇稿件记</w:t>
      </w:r>
      <w:r>
        <w:t>3分，获得三等奖记5分，获得二等奖记</w:t>
      </w:r>
      <w:r>
        <w:rPr>
          <w:rFonts w:hint="eastAsia"/>
        </w:rPr>
        <w:t>7</w:t>
      </w:r>
      <w:r>
        <w:t>分，获得一等奖记10分</w:t>
      </w:r>
      <w:r>
        <w:rPr>
          <w:rFonts w:hint="eastAsia"/>
        </w:rPr>
        <w:t>。</w:t>
      </w:r>
    </w:p>
    <w:p>
      <w:pPr>
        <w:spacing w:line="360" w:lineRule="auto"/>
        <w:ind w:firstLine="560"/>
      </w:pPr>
      <w:r>
        <w:rPr>
          <w:rFonts w:hint="eastAsia"/>
        </w:rPr>
        <w:t>第十六条 单位会员对协会组织的活动或会议提供人力、物力、场地支持的，提供人力</w:t>
      </w:r>
      <w:r>
        <w:t>1分/人</w:t>
      </w:r>
      <w:r>
        <w:rPr>
          <w:rFonts w:hint="eastAsia"/>
        </w:rPr>
        <w:t>·</w:t>
      </w:r>
      <w:r>
        <w:t>日（不足1日按1日算）</w:t>
      </w:r>
      <w:r>
        <w:rPr>
          <w:rFonts w:hint="eastAsia"/>
        </w:rPr>
        <w:t>，每月最高5分；提供200人以下会场每次10分，200人以上会场每次20分；提供其他物资、设备等酌情每次记10-20分。</w:t>
      </w:r>
    </w:p>
    <w:p>
      <w:pPr>
        <w:pStyle w:val="11"/>
        <w:spacing w:line="360" w:lineRule="auto"/>
      </w:pPr>
      <w:r>
        <w:rPr>
          <w:rFonts w:hint="eastAsia"/>
        </w:rPr>
        <w:t>第二章 积分应用</w:t>
      </w:r>
    </w:p>
    <w:p>
      <w:pPr>
        <w:spacing w:line="360" w:lineRule="auto"/>
        <w:ind w:firstLine="560"/>
      </w:pPr>
      <w:r>
        <w:rPr>
          <w:rFonts w:hint="eastAsia"/>
        </w:rPr>
        <w:t>第十七条 会员积分是单位会员晋级的重要参考。</w:t>
      </w:r>
    </w:p>
    <w:p>
      <w:pPr>
        <w:spacing w:line="360" w:lineRule="auto"/>
        <w:ind w:firstLine="560"/>
      </w:pPr>
      <w:r>
        <w:rPr>
          <w:rFonts w:hint="eastAsia"/>
        </w:rPr>
        <w:t>第十八条 连续三年积分获得前十名的单位，在资信或信用评价中适当加分，具体执行详见相关管理办法。</w:t>
      </w:r>
    </w:p>
    <w:p>
      <w:pPr>
        <w:spacing w:line="360" w:lineRule="auto"/>
        <w:ind w:firstLine="560"/>
      </w:pPr>
      <w:r>
        <w:rPr>
          <w:rFonts w:hint="eastAsia"/>
        </w:rPr>
        <w:t>第十九条</w:t>
      </w:r>
      <w:r>
        <w:t xml:space="preserve"> </w:t>
      </w:r>
      <w:r>
        <w:rPr>
          <w:rFonts w:hint="eastAsia"/>
        </w:rPr>
        <w:t>为肯定单位会员为行业做出的贡献，北京市建设工程招标投标和造价管理协会每年推选若干“先进单位会员”。根据单位会员积分排序，前50名优先入围“先进单位会员”推选。</w:t>
      </w:r>
    </w:p>
    <w:p>
      <w:pPr>
        <w:spacing w:line="360" w:lineRule="auto"/>
        <w:ind w:firstLine="560"/>
      </w:pPr>
      <w:r>
        <w:rPr>
          <w:rFonts w:hint="eastAsia"/>
        </w:rPr>
        <w:t>第二十条 先进单位会员奖励：</w:t>
      </w:r>
    </w:p>
    <w:p>
      <w:pPr>
        <w:spacing w:line="360" w:lineRule="auto"/>
        <w:ind w:firstLine="560"/>
      </w:pPr>
      <w:r>
        <w:rPr>
          <w:rFonts w:hint="eastAsia"/>
        </w:rPr>
        <w:t>1.颁发“先进单位会员”证书；</w:t>
      </w:r>
    </w:p>
    <w:p>
      <w:pPr>
        <w:spacing w:line="360" w:lineRule="auto"/>
        <w:ind w:firstLine="560"/>
      </w:pPr>
      <w:r>
        <w:rPr>
          <w:rFonts w:hint="eastAsia"/>
        </w:rPr>
        <w:t>2.下年度积分奖励30分；</w:t>
      </w:r>
    </w:p>
    <w:p>
      <w:pPr>
        <w:spacing w:line="360" w:lineRule="auto"/>
        <w:ind w:firstLine="560"/>
      </w:pPr>
      <w:r>
        <w:rPr>
          <w:rFonts w:hint="eastAsia"/>
        </w:rPr>
        <w:t>3.优先参加下年度免费培训、研讨会；</w:t>
      </w:r>
    </w:p>
    <w:p>
      <w:pPr>
        <w:spacing w:line="360" w:lineRule="auto"/>
        <w:ind w:firstLine="560"/>
      </w:pPr>
      <w:r>
        <w:t>4.</w:t>
      </w:r>
      <w:r>
        <w:rPr>
          <w:rFonts w:hint="eastAsia"/>
        </w:rPr>
        <w:t>优先参加协会组织的企业文化及国内外考察、交流、展会活动；</w:t>
      </w:r>
    </w:p>
    <w:p>
      <w:pPr>
        <w:spacing w:line="360" w:lineRule="auto"/>
        <w:ind w:firstLine="560"/>
      </w:pPr>
      <w:r>
        <w:t>5</w:t>
      </w:r>
      <w:r>
        <w:rPr>
          <w:rFonts w:hint="eastAsia"/>
        </w:rPr>
        <w:t>.在协会期刊、公众号、网站上投稿，同等条件下优先选用；</w:t>
      </w:r>
    </w:p>
    <w:p>
      <w:pPr>
        <w:spacing w:line="360" w:lineRule="auto"/>
        <w:ind w:firstLine="560"/>
      </w:pPr>
      <w:r>
        <w:t>6</w:t>
      </w:r>
      <w:r>
        <w:rPr>
          <w:rFonts w:hint="eastAsia"/>
        </w:rPr>
        <w:t>.《北京市建设工程招标投标和造价管理协会》杂志优先录用稿件；</w:t>
      </w:r>
    </w:p>
    <w:p>
      <w:pPr>
        <w:spacing w:line="360" w:lineRule="auto"/>
        <w:ind w:firstLine="560"/>
      </w:pPr>
      <w:r>
        <w:t>7.</w:t>
      </w:r>
      <w:r>
        <w:rPr>
          <w:rFonts w:hint="eastAsia"/>
        </w:rPr>
        <w:t>优先接受纠纷调解。</w:t>
      </w:r>
    </w:p>
    <w:p>
      <w:pPr>
        <w:pStyle w:val="11"/>
        <w:spacing w:line="360" w:lineRule="auto"/>
      </w:pPr>
      <w:r>
        <w:rPr>
          <w:rFonts w:hint="eastAsia"/>
        </w:rPr>
        <w:t xml:space="preserve">第三章 附 </w:t>
      </w:r>
      <w:r>
        <w:t xml:space="preserve"> </w:t>
      </w:r>
      <w:r>
        <w:rPr>
          <w:rFonts w:hint="eastAsia"/>
        </w:rPr>
        <w:t>则</w:t>
      </w:r>
    </w:p>
    <w:p>
      <w:pPr>
        <w:spacing w:line="360" w:lineRule="auto"/>
        <w:ind w:firstLine="560"/>
      </w:pPr>
      <w:r>
        <w:rPr>
          <w:rFonts w:hint="eastAsia"/>
        </w:rPr>
        <w:t>第二十一条 积分统计期限为自然年，即每年1月1日至12月31日，新入会单位会员从入会当月开始计算该年度积分，次年1月份对所有单位会员积分进行汇总，在协会网站公示7天，若无异议，为该年度最终积分。</w:t>
      </w:r>
    </w:p>
    <w:p>
      <w:pPr>
        <w:spacing w:line="360" w:lineRule="auto"/>
        <w:ind w:firstLine="560"/>
      </w:pPr>
      <w:r>
        <w:rPr>
          <w:rFonts w:hint="eastAsia"/>
        </w:rPr>
        <w:t>第二十二条 协会秘书处负责积分记录及统计工作。</w:t>
      </w:r>
    </w:p>
    <w:p>
      <w:pPr>
        <w:spacing w:line="360" w:lineRule="auto"/>
        <w:ind w:firstLine="560"/>
      </w:pPr>
      <w:r>
        <w:rPr>
          <w:rFonts w:hint="eastAsia"/>
        </w:rPr>
        <w:t xml:space="preserve">第二十三条 </w:t>
      </w:r>
      <w:r>
        <w:rPr>
          <w:rFonts w:hint="eastAsia"/>
          <w:color w:val="auto"/>
        </w:rPr>
        <w:t>本办法修订经</w:t>
      </w:r>
      <w:r>
        <w:rPr>
          <w:color w:val="auto"/>
          <w:spacing w:val="-4"/>
        </w:rPr>
        <w:t>20</w:t>
      </w:r>
      <w:r>
        <w:rPr>
          <w:rFonts w:hint="eastAsia"/>
          <w:color w:val="auto"/>
          <w:spacing w:val="-4"/>
        </w:rPr>
        <w:t>20</w:t>
      </w:r>
      <w:r>
        <w:rPr>
          <w:color w:val="auto"/>
          <w:spacing w:val="-4"/>
        </w:rPr>
        <w:t>年</w:t>
      </w:r>
      <w:r>
        <w:rPr>
          <w:rFonts w:hint="eastAsia"/>
          <w:color w:val="auto"/>
          <w:spacing w:val="-4"/>
        </w:rPr>
        <w:t>6</w:t>
      </w:r>
      <w:r>
        <w:rPr>
          <w:color w:val="auto"/>
          <w:spacing w:val="-4"/>
        </w:rPr>
        <w:t>月12日一届</w:t>
      </w:r>
      <w:r>
        <w:rPr>
          <w:rFonts w:hint="eastAsia"/>
          <w:color w:val="auto"/>
          <w:spacing w:val="-4"/>
        </w:rPr>
        <w:t>六</w:t>
      </w:r>
      <w:r>
        <w:rPr>
          <w:color w:val="auto"/>
          <w:spacing w:val="-4"/>
        </w:rPr>
        <w:t>次会长办公会审议通过后生效，由协会秘书处负责解释。</w:t>
      </w:r>
    </w:p>
    <w:p>
      <w:pPr>
        <w:spacing w:line="360" w:lineRule="auto"/>
        <w:ind w:firstLine="560"/>
        <w:rPr>
          <w:color w:val="FF0000"/>
        </w:rPr>
      </w:pPr>
      <w:r>
        <w:rPr>
          <w:rFonts w:hint="eastAsia"/>
          <w:color w:val="auto"/>
        </w:rPr>
        <w:t>第二十四条 本办法自颁布之日</w:t>
      </w:r>
      <w:r>
        <w:rPr>
          <w:color w:val="auto"/>
        </w:rPr>
        <w:t>起执行。</w:t>
      </w:r>
    </w:p>
    <w:p>
      <w:pPr>
        <w:spacing w:line="360" w:lineRule="auto"/>
        <w:ind w:firstLine="560"/>
        <w:jc w:val="right"/>
      </w:pPr>
    </w:p>
    <w:p>
      <w:pPr>
        <w:spacing w:line="360" w:lineRule="auto"/>
        <w:ind w:firstLine="560"/>
      </w:pPr>
      <w:r>
        <w:rPr>
          <w:rFonts w:hint="eastAsia"/>
        </w:rPr>
        <w:t xml:space="preserve"> </w:t>
      </w:r>
    </w:p>
    <w:p>
      <w:pPr>
        <w:ind w:firstLine="560"/>
      </w:pP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792F"/>
    <w:rsid w:val="0007135D"/>
    <w:rsid w:val="000D3313"/>
    <w:rsid w:val="000E2F34"/>
    <w:rsid w:val="00146777"/>
    <w:rsid w:val="002A5245"/>
    <w:rsid w:val="003E398D"/>
    <w:rsid w:val="00406194"/>
    <w:rsid w:val="004324C8"/>
    <w:rsid w:val="00441797"/>
    <w:rsid w:val="0047646F"/>
    <w:rsid w:val="004A6549"/>
    <w:rsid w:val="00581D36"/>
    <w:rsid w:val="005B48B3"/>
    <w:rsid w:val="005C5589"/>
    <w:rsid w:val="006122CE"/>
    <w:rsid w:val="006145DC"/>
    <w:rsid w:val="006618A5"/>
    <w:rsid w:val="009D0D7E"/>
    <w:rsid w:val="00A353F8"/>
    <w:rsid w:val="00A4136D"/>
    <w:rsid w:val="00B51CC1"/>
    <w:rsid w:val="00B64D08"/>
    <w:rsid w:val="00BE4063"/>
    <w:rsid w:val="00BE6A90"/>
    <w:rsid w:val="00C84730"/>
    <w:rsid w:val="00DC702F"/>
    <w:rsid w:val="00E56186"/>
    <w:rsid w:val="00F4792F"/>
    <w:rsid w:val="00F54C1E"/>
    <w:rsid w:val="00F7368C"/>
    <w:rsid w:val="00F9258C"/>
    <w:rsid w:val="00FC194F"/>
    <w:rsid w:val="10A66225"/>
    <w:rsid w:val="52775DCD"/>
    <w:rsid w:val="6F3C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宋体" w:hAnsi="宋体" w:eastAsia="宋体" w:cs="宋体"/>
      <w:color w:val="000000" w:themeColor="text1"/>
      <w:kern w:val="2"/>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line="240" w:lineRule="auto"/>
    </w:pPr>
    <w:rPr>
      <w:rFonts w:ascii="Segoe UI" w:hAnsi="Segoe UI" w:cs="Segoe UI"/>
      <w:sz w:val="18"/>
      <w:szCs w:val="18"/>
    </w:rPr>
  </w:style>
  <w:style w:type="paragraph" w:styleId="3">
    <w:name w:val="footer"/>
    <w:basedOn w:val="1"/>
    <w:link w:val="8"/>
    <w:unhideWhenUsed/>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color w:val="auto"/>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大标题"/>
    <w:basedOn w:val="1"/>
    <w:qFormat/>
    <w:uiPriority w:val="0"/>
    <w:pPr>
      <w:spacing w:after="100" w:afterAutospacing="1"/>
      <w:ind w:firstLine="0" w:firstLineChars="0"/>
      <w:jc w:val="center"/>
      <w:outlineLvl w:val="0"/>
    </w:pPr>
    <w:rPr>
      <w:b/>
      <w:sz w:val="44"/>
      <w:szCs w:val="44"/>
    </w:rPr>
  </w:style>
  <w:style w:type="paragraph" w:customStyle="1" w:styleId="10">
    <w:name w:val="一、二、三"/>
    <w:basedOn w:val="1"/>
    <w:qFormat/>
    <w:uiPriority w:val="0"/>
    <w:rPr>
      <w:b/>
    </w:rPr>
  </w:style>
  <w:style w:type="paragraph" w:customStyle="1" w:styleId="11">
    <w:name w:val="第几章"/>
    <w:basedOn w:val="1"/>
    <w:qFormat/>
    <w:uiPriority w:val="0"/>
    <w:pPr>
      <w:spacing w:before="100" w:beforeAutospacing="1" w:after="100" w:afterAutospacing="1"/>
      <w:ind w:firstLine="0" w:firstLineChars="0"/>
      <w:jc w:val="center"/>
    </w:pPr>
    <w:rPr>
      <w:b/>
    </w:rPr>
  </w:style>
  <w:style w:type="character" w:customStyle="1" w:styleId="12">
    <w:name w:val="批注框文本 字符"/>
    <w:basedOn w:val="6"/>
    <w:link w:val="2"/>
    <w:semiHidden/>
    <w:uiPriority w:val="99"/>
    <w:rPr>
      <w:rFonts w:ascii="Segoe UI" w:hAnsi="Segoe UI" w:eastAsia="宋体" w:cs="Segoe UI"/>
      <w:color w:val="000000" w:themeColor="text1"/>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E13B0-A18E-4DB5-8B70-FD3E316AD917}">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302</Words>
  <Characters>1725</Characters>
  <Lines>14</Lines>
  <Paragraphs>4</Paragraphs>
  <TotalTime>0</TotalTime>
  <ScaleCrop>false</ScaleCrop>
  <LinksUpToDate>false</LinksUpToDate>
  <CharactersWithSpaces>2023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2019-03-19T02:04:00Z</dcterms:created>
  <dc:creator>Administrator</dc:creator>
  <cp:lastModifiedBy>yf</cp:lastModifiedBy>
  <dcterms:modified xsi:type="dcterms:W3CDTF">2020-06-30T05:33:43Z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shaosong.zhu@atos.net</vt:lpwstr>
  </property>
  <property fmtid="{D5CDD505-2E9C-101B-9397-08002B2CF9AE}" pid="5" name="MSIP_Label_112e00b9-34e2-4b26-a577-af1fd0f9f7ee_SetDate">
    <vt:lpwstr>2020-04-13T02:15:02.3381187Z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492c25a7-2888-40c1-827b-bedd67220222</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shaosong.zhu@atos.net</vt:lpwstr>
  </property>
  <property fmtid="{D5CDD505-2E9C-101B-9397-08002B2CF9AE}" pid="13" name="MSIP_Label_e463cba9-5f6c-478d-9329-7b2295e4e8ed_SetDate">
    <vt:lpwstr>2020-04-13T02:15:02.3381187Z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492c25a7-2888-40c1-827b-bedd67220222</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y fmtid="{D5CDD505-2E9C-101B-9397-08002B2CF9AE}" pid="20" name="KSOProductBuildVer">
    <vt:lpwstr>2052-11.1.0.9740</vt:lpwstr>
  </property>
</Properties>
</file>