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right="25" w:rightChars="12"/>
        <w:jc w:val="center"/>
        <w:rPr>
          <w:rFonts w:ascii="方正小标宋简体" w:hAnsi="黑体" w:eastAsia="方正小标宋简体"/>
          <w:b/>
          <w:w w:val="90"/>
          <w:sz w:val="44"/>
          <w:szCs w:val="44"/>
        </w:rPr>
      </w:pPr>
      <w:r>
        <w:rPr>
          <w:rFonts w:hint="eastAsia" w:ascii="方正小标宋简体" w:hAnsi="黑体" w:eastAsia="方正小标宋简体"/>
          <w:b/>
          <w:w w:val="90"/>
          <w:sz w:val="44"/>
          <w:szCs w:val="44"/>
        </w:rPr>
        <w:t>北京市工程建设项目招标代理机构资信评价</w:t>
      </w:r>
    </w:p>
    <w:p>
      <w:pPr>
        <w:spacing w:afterLines="100" w:line="800" w:lineRule="exact"/>
        <w:ind w:right="25" w:rightChars="12"/>
        <w:jc w:val="center"/>
        <w:rPr>
          <w:rFonts w:ascii="仿宋_GB2312" w:hAnsi="仿宋_GB2312" w:eastAsia="仿宋_GB2312" w:cs="仿宋_GB2312"/>
          <w:b/>
          <w:sz w:val="30"/>
          <w:szCs w:val="30"/>
        </w:rPr>
      </w:pPr>
      <w:r>
        <w:rPr>
          <w:rFonts w:hint="eastAsia" w:ascii="方正小标宋简体" w:hAnsi="黑体" w:eastAsia="方正小标宋简体"/>
          <w:b/>
          <w:sz w:val="44"/>
          <w:szCs w:val="44"/>
        </w:rPr>
        <w:t>管理办法</w:t>
      </w: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ascii="仿宋_GB2312" w:eastAsia="仿宋_GB2312" w:hAnsiTheme="minorEastAsia"/>
        </w:rPr>
      </w:pPr>
      <w:r>
        <w:rPr>
          <w:rFonts w:hint="eastAsia" w:ascii="仿宋_GB2312" w:eastAsia="仿宋_GB2312" w:hAnsiTheme="minorEastAsia"/>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第一条</w:t>
      </w:r>
      <w:r>
        <w:rPr>
          <w:rFonts w:hint="eastAsia" w:ascii="仿宋_GB2312" w:eastAsia="仿宋_GB2312" w:hAnsiTheme="minorEastAsia"/>
          <w:sz w:val="32"/>
          <w:szCs w:val="32"/>
        </w:rPr>
        <w:t xml:space="preserve"> 为贯彻落实《全国人民代表大会常务委员会关于修改&lt;中华人民共和国招标投标法&gt;、&lt;中华人民共和国计量法&gt;的决定》（第86号主席令）、《住房城乡建设部办公厅关于取消工程建设项目招标代理机构资格认定加强事中事后监管的通知》（建办市</w:t>
      </w:r>
      <w:r>
        <w:rPr>
          <w:rFonts w:hint="eastAsia" w:ascii="仿宋" w:hAnsi="仿宋" w:eastAsia="仿宋"/>
          <w:bCs/>
          <w:spacing w:val="-16"/>
          <w:sz w:val="32"/>
          <w:szCs w:val="32"/>
        </w:rPr>
        <w:t>〔</w:t>
      </w:r>
      <w:r>
        <w:rPr>
          <w:rFonts w:hint="eastAsia" w:ascii="仿宋_GB2312" w:eastAsia="仿宋_GB2312" w:hAnsiTheme="minorEastAsia"/>
          <w:sz w:val="32"/>
          <w:szCs w:val="32"/>
        </w:rPr>
        <w:t>2017</w:t>
      </w:r>
      <w:r>
        <w:rPr>
          <w:rFonts w:hint="eastAsia" w:ascii="仿宋" w:hAnsi="仿宋" w:eastAsia="仿宋"/>
          <w:bCs/>
          <w:spacing w:val="-16"/>
          <w:sz w:val="32"/>
          <w:szCs w:val="32"/>
        </w:rPr>
        <w:t>〕</w:t>
      </w:r>
      <w:r>
        <w:rPr>
          <w:rFonts w:hint="eastAsia" w:ascii="仿宋_GB2312" w:eastAsia="仿宋_GB2312" w:hAnsiTheme="minorEastAsia"/>
          <w:sz w:val="32"/>
          <w:szCs w:val="32"/>
        </w:rPr>
        <w:t>77号）、《住房城乡建设部关于印发建筑市场信用管理暂行办法的通知》（建市</w:t>
      </w:r>
      <w:r>
        <w:rPr>
          <w:rFonts w:hint="eastAsia" w:ascii="仿宋" w:hAnsi="仿宋" w:eastAsia="仿宋"/>
          <w:bCs/>
          <w:spacing w:val="-16"/>
          <w:sz w:val="32"/>
          <w:szCs w:val="32"/>
        </w:rPr>
        <w:t>〔</w:t>
      </w:r>
      <w:r>
        <w:rPr>
          <w:rFonts w:hint="eastAsia" w:ascii="仿宋_GB2312" w:eastAsia="仿宋_GB2312" w:hAnsiTheme="minorEastAsia"/>
          <w:sz w:val="32"/>
          <w:szCs w:val="32"/>
        </w:rPr>
        <w:t>2017</w:t>
      </w:r>
      <w:r>
        <w:rPr>
          <w:rFonts w:hint="eastAsia" w:ascii="仿宋" w:hAnsi="仿宋" w:eastAsia="仿宋"/>
          <w:bCs/>
          <w:spacing w:val="-16"/>
          <w:sz w:val="32"/>
          <w:szCs w:val="32"/>
        </w:rPr>
        <w:t>〕</w:t>
      </w:r>
      <w:r>
        <w:rPr>
          <w:rFonts w:hint="eastAsia" w:ascii="仿宋_GB2312" w:eastAsia="仿宋_GB2312" w:hAnsiTheme="minorEastAsia"/>
          <w:sz w:val="32"/>
          <w:szCs w:val="32"/>
        </w:rPr>
        <w:t>241号）等文件精神，充分发挥行业协会对促进工程建设项目招标代理行业规范发展的重要作用，规范工程招标代理行为，维护建筑市场秩序，保持招标代理行业在资质取消后仍能持续、稳定、健康的发展，北京市建设工程招标投标和造价管理协会</w:t>
      </w:r>
      <w:r>
        <w:rPr>
          <w:rFonts w:hint="eastAsia" w:ascii="仿宋_GB2312" w:eastAsia="仿宋_GB2312" w:hAnsiTheme="minorEastAsia"/>
          <w:color w:val="auto"/>
          <w:sz w:val="32"/>
          <w:szCs w:val="32"/>
        </w:rPr>
        <w:t>（以下简称京标价协）组织开展北京市工程建设项目招标代理机构资信评价活动（以下简称招标代理资信评价），</w:t>
      </w:r>
      <w:r>
        <w:rPr>
          <w:rFonts w:hint="eastAsia" w:ascii="仿宋_GB2312" w:eastAsia="仿宋_GB2312" w:hAnsiTheme="minorEastAsia"/>
          <w:sz w:val="32"/>
          <w:szCs w:val="32"/>
        </w:rPr>
        <w:t>特制定本办法。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第二条</w:t>
      </w:r>
      <w:r>
        <w:rPr>
          <w:rFonts w:hint="eastAsia" w:ascii="仿宋_GB2312" w:eastAsia="仿宋_GB2312" w:hAnsiTheme="minorEastAsia"/>
          <w:sz w:val="32"/>
          <w:szCs w:val="32"/>
        </w:rPr>
        <w:t xml:space="preserve"> 凡从事工程建设项目招标代理或投标咨询活动的京标价协会员单位均可申报参加招标代理资信评价。但发生下列情形之一，且在公开期限内的，不具备招标代理资信评价申报和评定资格：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（一）被省级（及以上）住房城乡建设主管部门列入“黑名单”；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（二）因其他违法违规行为，被国家或省级行政主管部门列入“重点监管范围”。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第三条</w:t>
      </w:r>
      <w:r>
        <w:rPr>
          <w:rFonts w:ascii="仿宋_GB2312" w:eastAsia="仿宋_GB2312" w:hAnsiTheme="minorEastAsia"/>
          <w:sz w:val="32"/>
          <w:szCs w:val="32"/>
        </w:rPr>
        <w:t xml:space="preserve"> </w:t>
      </w:r>
      <w:r>
        <w:rPr>
          <w:rFonts w:hint="eastAsia" w:ascii="仿宋_GB2312" w:eastAsia="仿宋_GB2312" w:hAnsiTheme="minorEastAsia"/>
          <w:sz w:val="32"/>
          <w:szCs w:val="32"/>
        </w:rPr>
        <w:t>本办法所称工程建设项目，是指土木工程、建筑工程、道路及桥梁工程、水利工程、线路管道、管廊和设备安装工程、装饰装修工程项目等。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本办法所称工程建设项目招标代理，是指工程招标代理机构接受招标人的委托，从事工程的勘察、设计、施工、监理以及与工程建设有关的重要设备（进口机电设备除外）、材料采购</w:t>
      </w:r>
      <w:bookmarkStart w:id="0" w:name="_GoBack"/>
      <w:r>
        <w:rPr>
          <w:rFonts w:hint="eastAsia" w:ascii="仿宋_GB2312" w:eastAsia="仿宋_GB2312" w:hAnsiTheme="minorEastAsia"/>
          <w:color w:val="auto"/>
          <w:sz w:val="32"/>
          <w:szCs w:val="32"/>
        </w:rPr>
        <w:t>招标</w:t>
      </w:r>
      <w:r>
        <w:rPr>
          <w:rFonts w:hint="eastAsia" w:ascii="仿宋_GB2312" w:eastAsia="仿宋_GB2312" w:hAnsiTheme="minorEastAsia"/>
          <w:color w:val="auto"/>
          <w:sz w:val="32"/>
          <w:szCs w:val="32"/>
          <w:lang w:eastAsia="zh-CN"/>
        </w:rPr>
        <w:t>等相关</w:t>
      </w:r>
      <w:bookmarkEnd w:id="0"/>
      <w:r>
        <w:rPr>
          <w:rFonts w:hint="eastAsia" w:ascii="仿宋_GB2312" w:eastAsia="仿宋_GB2312" w:hAnsiTheme="minorEastAsia"/>
          <w:sz w:val="32"/>
          <w:szCs w:val="32"/>
        </w:rPr>
        <w:t>代理业务。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第四条</w:t>
      </w:r>
      <w:r>
        <w:rPr>
          <w:rFonts w:hint="eastAsia" w:ascii="仿宋_GB2312" w:eastAsia="仿宋_GB2312" w:hAnsiTheme="minorEastAsia"/>
          <w:sz w:val="32"/>
          <w:szCs w:val="32"/>
        </w:rPr>
        <w:t xml:space="preserve"> 招标代理资信评价遵循公开、公平、公正和诚实信用原则。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第五条</w:t>
      </w:r>
      <w:r>
        <w:rPr>
          <w:rFonts w:hint="eastAsia" w:ascii="仿宋_GB2312" w:eastAsia="仿宋_GB2312" w:hAnsiTheme="minorEastAsia"/>
          <w:sz w:val="32"/>
          <w:szCs w:val="32"/>
        </w:rPr>
        <w:t xml:space="preserve"> 招标代理资信评价的结果可用于招标代理机构承接业务、对外宣传等，同时为政府监管部门实施重点监督提供参考依据。鼓励社会主体在委托工程招标代理咨询业务时，使用招标代理资信评价结果作为重要评价指标之一，但不支持将招标代理资信评价结果作为排他性条款。</w:t>
      </w: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ascii="仿宋_GB2312" w:eastAsia="仿宋_GB2312" w:hAnsiTheme="minorEastAsia"/>
        </w:rPr>
      </w:pPr>
      <w:r>
        <w:rPr>
          <w:rFonts w:hint="eastAsia" w:ascii="仿宋_GB2312" w:eastAsia="仿宋_GB2312" w:hAnsiTheme="minorEastAsia"/>
        </w:rPr>
        <w:t>第二章  组织机构和职责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第六条</w:t>
      </w:r>
      <w:r>
        <w:rPr>
          <w:rFonts w:hint="eastAsia" w:ascii="仿宋_GB2312" w:eastAsia="仿宋_GB2312" w:hAnsiTheme="minorEastAsia"/>
          <w:sz w:val="32"/>
          <w:szCs w:val="32"/>
        </w:rPr>
        <w:t xml:space="preserve"> 京标价协秘书处负责招标代理资信评价的组织和管理工作，具体评价工作由京标价协专家委员会完成。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第七条</w:t>
      </w:r>
      <w:r>
        <w:rPr>
          <w:rFonts w:hint="eastAsia" w:ascii="仿宋_GB2312" w:eastAsia="仿宋_GB2312" w:hAnsiTheme="minorEastAsia"/>
          <w:sz w:val="32"/>
          <w:szCs w:val="32"/>
        </w:rPr>
        <w:t xml:space="preserve"> 京标价协专家委员会组建资信评价委员会、申诉委员会及资信评价专家小组。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第八条</w:t>
      </w:r>
      <w:r>
        <w:rPr>
          <w:rFonts w:hint="eastAsia" w:ascii="仿宋_GB2312" w:eastAsia="仿宋_GB2312" w:hAnsiTheme="minorEastAsia"/>
          <w:sz w:val="32"/>
          <w:szCs w:val="32"/>
        </w:rPr>
        <w:t xml:space="preserve"> 资信评价委员会职责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（一）负责掌握评价政策、标准、规范，协调各专家评价小组的关系，领导各小组开展评价工作；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（二）负责监督、检查资信评价工作；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（三）组织召开评审工作动员会，布置、动员会员参加资信评价；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（四）与资信评价相关的其他工作。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第九条</w:t>
      </w:r>
      <w:r>
        <w:rPr>
          <w:rFonts w:hint="eastAsia" w:ascii="仿宋_GB2312" w:eastAsia="仿宋_GB2312" w:hAnsiTheme="minorEastAsia"/>
          <w:sz w:val="32"/>
          <w:szCs w:val="32"/>
        </w:rPr>
        <w:t xml:space="preserve"> 申诉委员会职责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（一）负责接受对资信评价工作的投诉；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（二）负责组织对投诉问题进行调查、核实、处理工作，给出处理意见报告；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（三）负责把处理意见报告转达给投诉人。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第十条</w:t>
      </w:r>
      <w:r>
        <w:rPr>
          <w:rFonts w:hint="eastAsia" w:ascii="仿宋_GB2312" w:eastAsia="仿宋_GB2312" w:hAnsiTheme="minorEastAsia"/>
          <w:sz w:val="32"/>
          <w:szCs w:val="32"/>
        </w:rPr>
        <w:t xml:space="preserve"> 资信评价专家小组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资信评价专家小组按资信评价指标项目成立，成员均为京标价协专家委员会专家。每个专家小组设组长一名全权负责本组的评审和协调工作。各小组依据评价标准认真、严肃、公正、公平地做好评审工作。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第十一条</w:t>
      </w:r>
      <w:r>
        <w:rPr>
          <w:rFonts w:hint="eastAsia" w:ascii="仿宋_GB2312" w:eastAsia="仿宋_GB2312" w:hAnsiTheme="minorEastAsia"/>
          <w:sz w:val="32"/>
          <w:szCs w:val="32"/>
        </w:rPr>
        <w:t xml:space="preserve"> 京标价协秘书处相关部门工作人员配合资信评价委员会、申诉委员会及资信评价小组工作，进行协调沟通，资料收取、整理、上报等工作。</w:t>
      </w: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ascii="仿宋_GB2312" w:eastAsia="仿宋_GB2312" w:hAnsiTheme="minorEastAsia"/>
        </w:rPr>
      </w:pPr>
      <w:r>
        <w:rPr>
          <w:rFonts w:hint="eastAsia" w:ascii="仿宋_GB2312" w:eastAsia="仿宋_GB2312" w:hAnsiTheme="minorEastAsia"/>
        </w:rPr>
        <w:t>第三章  评价标准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color w:val="auto"/>
          <w:sz w:val="32"/>
          <w:szCs w:val="32"/>
        </w:rPr>
      </w:pPr>
      <w:r>
        <w:rPr>
          <w:rFonts w:hint="eastAsia" w:ascii="仿宋_GB2312" w:eastAsia="仿宋_GB2312" w:hAnsiTheme="minorEastAsia"/>
          <w:b/>
          <w:bCs/>
          <w:sz w:val="32"/>
          <w:szCs w:val="32"/>
        </w:rPr>
        <w:t>第十二条</w:t>
      </w:r>
      <w:r>
        <w:rPr>
          <w:rFonts w:hint="eastAsia" w:ascii="仿宋_GB2312" w:eastAsia="仿宋_GB2312" w:hAnsiTheme="minorEastAsia"/>
          <w:sz w:val="32"/>
          <w:szCs w:val="32"/>
        </w:rPr>
        <w:t xml:space="preserve"> 招标代理资信评价以一定时期内的企业基本情况、合同业绩、专业技术力量和社会信用为主要指标，指标</w:t>
      </w:r>
      <w:r>
        <w:rPr>
          <w:rFonts w:hint="eastAsia" w:ascii="仿宋_GB2312" w:eastAsia="仿宋_GB2312" w:hAnsiTheme="minorEastAsia"/>
          <w:color w:val="auto"/>
          <w:sz w:val="32"/>
          <w:szCs w:val="32"/>
        </w:rPr>
        <w:t>可量化，具体标准执行《北京市工程建设项目招标代理机构资信评分表》。根据分值分为AAAAA、AAAA、AAA、AA、A五个等级。</w:t>
      </w:r>
    </w:p>
    <w:p>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ascii="仿宋_GB2312" w:eastAsia="仿宋_GB2312" w:hAnsiTheme="minorEastAsia"/>
          <w:color w:val="auto"/>
          <w:sz w:val="32"/>
          <w:szCs w:val="32"/>
        </w:rPr>
      </w:pPr>
      <w:r>
        <w:rPr>
          <w:rFonts w:hint="eastAsia" w:ascii="仿宋_GB2312" w:eastAsia="仿宋_GB2312" w:hAnsiTheme="minorEastAsia"/>
          <w:b/>
          <w:bCs/>
          <w:color w:val="auto"/>
          <w:sz w:val="32"/>
          <w:szCs w:val="32"/>
        </w:rPr>
        <w:t>第十三条</w:t>
      </w:r>
      <w:r>
        <w:rPr>
          <w:rFonts w:hint="eastAsia" w:ascii="仿宋_GB2312" w:eastAsia="仿宋_GB2312" w:hAnsiTheme="minorEastAsia"/>
          <w:color w:val="auto"/>
          <w:sz w:val="32"/>
          <w:szCs w:val="32"/>
        </w:rPr>
        <w:t xml:space="preserve"> 招标代理资信评价工作定期开展，原则上每年开展一次。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color w:val="auto"/>
          <w:sz w:val="32"/>
          <w:szCs w:val="32"/>
        </w:rPr>
        <w:t>第十四条</w:t>
      </w:r>
      <w:r>
        <w:rPr>
          <w:rFonts w:hint="eastAsia" w:ascii="仿宋_GB2312" w:eastAsia="仿宋_GB2312" w:hAnsiTheme="minorEastAsia"/>
          <w:color w:val="auto"/>
          <w:sz w:val="32"/>
          <w:szCs w:val="32"/>
        </w:rPr>
        <w:t xml:space="preserve"> 符合招标代理资信评价等级的工程招标代理机构将取得《北京市工程建设项目招标代理机构资信评价等级证书》（以下简称资信评价等级证书）</w:t>
      </w:r>
      <w:r>
        <w:rPr>
          <w:rFonts w:hint="eastAsia" w:ascii="仿宋_GB2312" w:eastAsia="仿宋_GB2312" w:hAnsiTheme="minorEastAsia"/>
          <w:sz w:val="32"/>
          <w:szCs w:val="32"/>
        </w:rPr>
        <w:t>，资信评价等级证书由京标价协统一印制和管理。</w:t>
      </w: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ascii="仿宋_GB2312" w:eastAsia="仿宋_GB2312" w:hAnsiTheme="minorEastAsia"/>
        </w:rPr>
      </w:pPr>
      <w:r>
        <w:rPr>
          <w:rFonts w:hint="eastAsia" w:ascii="仿宋_GB2312" w:eastAsia="仿宋_GB2312" w:hAnsiTheme="minorEastAsia"/>
        </w:rPr>
        <w:t>第四章  评价程序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第十五条</w:t>
      </w:r>
      <w:r>
        <w:rPr>
          <w:rFonts w:hint="eastAsia" w:ascii="仿宋_GB2312" w:eastAsia="仿宋_GB2312" w:hAnsiTheme="minorEastAsia"/>
          <w:sz w:val="32"/>
          <w:szCs w:val="32"/>
        </w:rPr>
        <w:t xml:space="preserve"> 北京市工程建设项目招标代理资信评价工作分为企业申报、初评、复评、公示确定四个阶段。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 xml:space="preserve">第十六条 </w:t>
      </w:r>
      <w:r>
        <w:rPr>
          <w:rFonts w:hint="eastAsia" w:ascii="仿宋_GB2312" w:eastAsia="仿宋_GB2312" w:hAnsiTheme="minorEastAsia"/>
          <w:sz w:val="32"/>
          <w:szCs w:val="32"/>
        </w:rPr>
        <w:t>企业申报。招标代理机构对照招标代理资信评价条件和标准进行自我评估，认为符合条件的，即可申报。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color w:val="auto"/>
          <w:sz w:val="32"/>
          <w:szCs w:val="32"/>
        </w:rPr>
      </w:pPr>
      <w:r>
        <w:rPr>
          <w:rFonts w:hint="eastAsia" w:ascii="仿宋_GB2312" w:eastAsia="仿宋_GB2312" w:hAnsiTheme="minorEastAsia"/>
          <w:color w:val="auto"/>
          <w:sz w:val="32"/>
          <w:szCs w:val="32"/>
        </w:rPr>
        <w:t>具体申报文件</w:t>
      </w:r>
      <w:r>
        <w:rPr>
          <w:rFonts w:hint="eastAsia" w:ascii="仿宋_GB2312" w:eastAsia="仿宋_GB2312" w:hAnsiTheme="minorEastAsia"/>
          <w:color w:val="auto"/>
          <w:sz w:val="32"/>
          <w:szCs w:val="32"/>
          <w:lang w:eastAsia="zh-CN"/>
        </w:rPr>
        <w:t>要求</w:t>
      </w:r>
      <w:r>
        <w:rPr>
          <w:rFonts w:hint="eastAsia" w:ascii="仿宋_GB2312" w:eastAsia="仿宋_GB2312" w:hAnsiTheme="minorEastAsia"/>
          <w:color w:val="auto"/>
          <w:sz w:val="32"/>
          <w:szCs w:val="32"/>
        </w:rPr>
        <w:t>详见《北京市工程建设项目招标代理机构资信评价实施细则》及《北京市工程建设项目招标代理机构资信评价评分表》。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招标代理机构应当对所提供资料的真实性、有效性负责。如发现内容弄虚作假的，当年不予认定且两年内不得再次申请，并在京标价协网站等公共媒体公布。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第十七条</w:t>
      </w:r>
      <w:r>
        <w:rPr>
          <w:rFonts w:hint="eastAsia" w:ascii="仿宋_GB2312" w:eastAsia="仿宋_GB2312" w:hAnsiTheme="minorEastAsia"/>
          <w:sz w:val="32"/>
          <w:szCs w:val="32"/>
        </w:rPr>
        <w:t xml:space="preserve"> 初评。京标价协秘书处受理企业申报，资信评价专家小组按照</w:t>
      </w:r>
      <w:r>
        <w:rPr>
          <w:rFonts w:hint="eastAsia" w:ascii="仿宋_GB2312" w:eastAsia="仿宋_GB2312" w:hAnsiTheme="minorEastAsia"/>
          <w:color w:val="auto"/>
          <w:sz w:val="32"/>
          <w:szCs w:val="32"/>
        </w:rPr>
        <w:t>《北京市工程建设项目招标代理机构资信评价评分表》</w:t>
      </w:r>
      <w:r>
        <w:rPr>
          <w:rFonts w:hint="eastAsia" w:ascii="仿宋_GB2312" w:eastAsia="仿宋_GB2312" w:hAnsiTheme="minorEastAsia"/>
          <w:sz w:val="32"/>
          <w:szCs w:val="32"/>
        </w:rPr>
        <w:t>的评定标准对申请单位的申报信息进行现场调查核实进行初评，并按标准推荐相应的资信评价等级，在《北京市工程建设项目招标代理机构资信评价现场审核情况记录表》填写初评意见。</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第十八条</w:t>
      </w:r>
      <w:r>
        <w:rPr>
          <w:rFonts w:hint="eastAsia" w:ascii="仿宋_GB2312" w:eastAsia="仿宋_GB2312" w:hAnsiTheme="minorEastAsia"/>
          <w:sz w:val="32"/>
          <w:szCs w:val="32"/>
        </w:rPr>
        <w:t xml:space="preserve"> 复评。资信评价委员会组织复审专家进行评审，依据各级别招标代理资信评价标准，进一步对照、复核。最后由复审专家在《北京市工程建设项目招标代理机构资信评价复审情况记录表》中填写评审意见并签字。</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第十九条</w:t>
      </w:r>
      <w:r>
        <w:rPr>
          <w:rFonts w:hint="eastAsia" w:ascii="仿宋_GB2312" w:eastAsia="仿宋_GB2312" w:hAnsiTheme="minorEastAsia"/>
          <w:sz w:val="32"/>
          <w:szCs w:val="32"/>
        </w:rPr>
        <w:t xml:space="preserve"> 公示确定。根据复审专家的评审意见，确定招标代理资信评价结果，并经京标价协网站（</w:t>
      </w:r>
      <w:r>
        <w:rPr>
          <w:rFonts w:ascii="仿宋_GB2312" w:eastAsia="仿宋_GB2312" w:hAnsiTheme="minorEastAsia"/>
          <w:sz w:val="32"/>
          <w:szCs w:val="32"/>
        </w:rPr>
        <w:t>http://</w:t>
      </w:r>
      <w:r>
        <w:rPr>
          <w:rFonts w:hint="eastAsia" w:ascii="仿宋_GB2312" w:eastAsia="仿宋_GB2312" w:hAnsiTheme="minorEastAsia"/>
          <w:sz w:val="32"/>
          <w:szCs w:val="32"/>
        </w:rPr>
        <w:t>www.bcebca.org.cn）、公众号（“京标价协”），向社会公示征求意见，公示期为7个工作日；对招标代理资信评价结果有异议的，应当在公示期满前，向京标价协秘书处实名书面提出异议，说明理由，并提供书面证明材料；申诉委员会将组织专家对提出的异议进行复核，并在10个工作日内将复核结果告知异议提出人；无异议的，即确定招标代理资信评价等级，颁发资信评价等级证书，发文并向社会公布信用评价的结果。</w:t>
      </w: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ascii="仿宋_GB2312" w:eastAsia="仿宋_GB2312" w:hAnsiTheme="minorEastAsia"/>
        </w:rPr>
      </w:pPr>
      <w:r>
        <w:rPr>
          <w:rFonts w:hint="eastAsia" w:ascii="仿宋_GB2312" w:eastAsia="仿宋_GB2312" w:hAnsiTheme="minorEastAsia"/>
        </w:rPr>
        <w:t>第五章  动态管理规定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第二十条</w:t>
      </w:r>
      <w:r>
        <w:rPr>
          <w:rFonts w:hint="eastAsia" w:ascii="仿宋_GB2312" w:eastAsia="仿宋_GB2312" w:hAnsiTheme="minorEastAsia"/>
          <w:sz w:val="32"/>
          <w:szCs w:val="32"/>
        </w:rPr>
        <w:t xml:space="preserve"> 招标代理资信评价采取动态管理，资信评价等级证书有效期五年，有效期内每年定期申报企业基本信息和业绩信息，等级发生变化者，以最新评价等级为准。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第二十一条</w:t>
      </w:r>
      <w:r>
        <w:rPr>
          <w:rFonts w:hint="eastAsia" w:ascii="仿宋_GB2312" w:eastAsia="仿宋_GB2312" w:hAnsiTheme="minorEastAsia"/>
          <w:sz w:val="32"/>
          <w:szCs w:val="32"/>
        </w:rPr>
        <w:t xml:space="preserve"> 招标代理机构获得的资信评价等级证书有效期届满，应重新申请资信评价。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color w:val="auto"/>
          <w:sz w:val="32"/>
          <w:szCs w:val="32"/>
        </w:rPr>
      </w:pPr>
      <w:r>
        <w:rPr>
          <w:rFonts w:hint="eastAsia" w:ascii="仿宋_GB2312" w:eastAsia="仿宋_GB2312" w:hAnsiTheme="minorEastAsia"/>
          <w:b/>
          <w:bCs/>
          <w:color w:val="auto"/>
          <w:sz w:val="32"/>
          <w:szCs w:val="32"/>
        </w:rPr>
        <w:t>第二十二条</w:t>
      </w:r>
      <w:r>
        <w:rPr>
          <w:rFonts w:hint="eastAsia" w:ascii="仿宋_GB2312" w:eastAsia="仿宋_GB2312" w:hAnsiTheme="minorEastAsia"/>
          <w:color w:val="auto"/>
          <w:sz w:val="32"/>
          <w:szCs w:val="32"/>
        </w:rPr>
        <w:t xml:space="preserve"> 招标代理机构取得资信评价等级证书</w:t>
      </w:r>
      <w:r>
        <w:rPr>
          <w:rFonts w:hint="eastAsia" w:ascii="仿宋_GB2312" w:eastAsia="仿宋_GB2312" w:hAnsiTheme="minorEastAsia"/>
          <w:color w:val="auto"/>
          <w:sz w:val="32"/>
          <w:szCs w:val="32"/>
          <w:lang w:eastAsia="zh-CN"/>
        </w:rPr>
        <w:t>满一年</w:t>
      </w:r>
      <w:r>
        <w:rPr>
          <w:rFonts w:hint="eastAsia" w:ascii="仿宋_GB2312" w:eastAsia="仿宋_GB2312" w:hAnsiTheme="minorEastAsia"/>
          <w:color w:val="auto"/>
          <w:sz w:val="32"/>
          <w:szCs w:val="32"/>
        </w:rPr>
        <w:t>后，可</w:t>
      </w:r>
      <w:r>
        <w:rPr>
          <w:rFonts w:hint="eastAsia" w:ascii="仿宋_GB2312" w:eastAsia="仿宋_GB2312" w:hAnsiTheme="minorEastAsia"/>
          <w:color w:val="auto"/>
          <w:sz w:val="32"/>
          <w:szCs w:val="32"/>
          <w:lang w:eastAsia="zh-CN"/>
        </w:rPr>
        <w:t>按照相关要求</w:t>
      </w:r>
      <w:r>
        <w:rPr>
          <w:rFonts w:hint="eastAsia" w:ascii="仿宋_GB2312" w:eastAsia="仿宋_GB2312" w:hAnsiTheme="minorEastAsia"/>
          <w:color w:val="auto"/>
          <w:sz w:val="32"/>
          <w:szCs w:val="32"/>
        </w:rPr>
        <w:t>申请资信等级升级。</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第二十三条</w:t>
      </w:r>
      <w:r>
        <w:rPr>
          <w:rFonts w:hint="eastAsia" w:ascii="仿宋_GB2312" w:eastAsia="仿宋_GB2312" w:hAnsiTheme="minorEastAsia"/>
          <w:sz w:val="32"/>
          <w:szCs w:val="32"/>
        </w:rPr>
        <w:t xml:space="preserve"> 评价期内或评价结果有效期内，招标代理机构发生严重不良行为，且社会影响恶劣，资信评价委员会应组织专家通过投票决定降低其资信评价等级或取消其资信评价资格，并在京标价协网站、公众号予以公布。严重不良行为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（一）被省级（及以上）住房城乡建设主管部门列入“黑名单”或在全国建筑市场监管公共服务平台</w:t>
      </w:r>
      <w:r>
        <w:rPr>
          <w:rFonts w:hint="eastAsia" w:ascii="仿宋_GB2312" w:eastAsia="仿宋_GB2312" w:hAnsiTheme="minorEastAsia"/>
          <w:spacing w:val="-8"/>
          <w:sz w:val="32"/>
          <w:szCs w:val="32"/>
        </w:rPr>
        <w:t>具有不良诚信记录</w:t>
      </w:r>
      <w:r>
        <w:rPr>
          <w:rFonts w:hint="eastAsia" w:ascii="仿宋_GB2312" w:eastAsia="仿宋_GB2312" w:hAnsiTheme="minorEastAsia"/>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（二）隐瞒有关情况或者提供虚假材料申报招标代理资信评价；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（三）以不正当手段骗取招标代理资信评价等级证书；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（四）法律、法规、规章及行业规定的其他违法、违规行为，以及资信评价委员会认定属于严重违反行业规定的其他情形。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s="宋体" w:hAnsiTheme="minorEastAsia"/>
          <w:kern w:val="0"/>
          <w:sz w:val="32"/>
          <w:szCs w:val="32"/>
        </w:rPr>
      </w:pPr>
      <w:r>
        <w:rPr>
          <w:rFonts w:hint="eastAsia" w:ascii="仿宋_GB2312" w:eastAsia="仿宋_GB2312" w:hAnsiTheme="minorEastAsia"/>
          <w:b/>
          <w:bCs/>
          <w:sz w:val="32"/>
          <w:szCs w:val="32"/>
        </w:rPr>
        <w:t>第二十四条</w:t>
      </w:r>
      <w:r>
        <w:rPr>
          <w:rFonts w:hint="eastAsia" w:ascii="仿宋_GB2312" w:eastAsia="仿宋_GB2312" w:cs="宋体" w:hAnsiTheme="minorEastAsia"/>
          <w:kern w:val="0"/>
          <w:sz w:val="32"/>
          <w:szCs w:val="32"/>
        </w:rPr>
        <w:t xml:space="preserve"> 招标代理机构在资信评价</w:t>
      </w:r>
      <w:r>
        <w:rPr>
          <w:rFonts w:hint="eastAsia" w:ascii="仿宋_GB2312" w:eastAsia="仿宋_GB2312" w:hAnsiTheme="minorEastAsia"/>
          <w:sz w:val="32"/>
          <w:szCs w:val="32"/>
        </w:rPr>
        <w:t>等级证书</w:t>
      </w:r>
      <w:r>
        <w:rPr>
          <w:rFonts w:hint="eastAsia" w:ascii="仿宋_GB2312" w:eastAsia="仿宋_GB2312" w:cs="宋体" w:hAnsiTheme="minorEastAsia"/>
          <w:kern w:val="0"/>
          <w:sz w:val="32"/>
          <w:szCs w:val="32"/>
        </w:rPr>
        <w:t>有效期内发生下列情形之一，应当自情形发生之日起30日内，提交相应申报变更材料，并办理资信评价</w:t>
      </w:r>
      <w:r>
        <w:rPr>
          <w:rFonts w:hint="eastAsia" w:ascii="仿宋_GB2312" w:eastAsia="仿宋_GB2312" w:hAnsiTheme="minorEastAsia"/>
          <w:sz w:val="32"/>
          <w:szCs w:val="32"/>
        </w:rPr>
        <w:t>等级证书</w:t>
      </w:r>
      <w:r>
        <w:rPr>
          <w:rFonts w:hint="eastAsia" w:ascii="仿宋_GB2312" w:eastAsia="仿宋_GB2312" w:cs="宋体" w:hAnsiTheme="minorEastAsia"/>
          <w:kern w:val="0"/>
          <w:sz w:val="32"/>
          <w:szCs w:val="32"/>
        </w:rPr>
        <w:t>变更手续，</w:t>
      </w:r>
      <w:r>
        <w:rPr>
          <w:rFonts w:hint="eastAsia" w:ascii="仿宋_GB2312" w:eastAsia="仿宋_GB2312" w:hAnsiTheme="minorEastAsia"/>
          <w:sz w:val="32"/>
          <w:szCs w:val="32"/>
        </w:rPr>
        <w:t>资信评价委员会</w:t>
      </w:r>
      <w:r>
        <w:rPr>
          <w:rFonts w:hint="eastAsia" w:ascii="仿宋_GB2312" w:eastAsia="仿宋_GB2312" w:cs="宋体" w:hAnsiTheme="minorEastAsia"/>
          <w:kern w:val="0"/>
          <w:sz w:val="32"/>
          <w:szCs w:val="32"/>
        </w:rPr>
        <w:t>在受理后3个工作日内办理变更手续：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（一）工商登记事项发生变更；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（二）其他需要变更资信评价等级证书的情况。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s="宋体" w:hAnsiTheme="minorEastAsia"/>
          <w:kern w:val="0"/>
          <w:sz w:val="32"/>
          <w:szCs w:val="32"/>
        </w:rPr>
      </w:pPr>
      <w:r>
        <w:rPr>
          <w:rFonts w:hint="eastAsia" w:ascii="仿宋_GB2312" w:eastAsia="仿宋_GB2312" w:hAnsiTheme="minorEastAsia"/>
          <w:b/>
          <w:bCs/>
          <w:sz w:val="32"/>
          <w:szCs w:val="32"/>
        </w:rPr>
        <w:t>第二十五条</w:t>
      </w:r>
      <w:r>
        <w:rPr>
          <w:rFonts w:hint="eastAsia" w:ascii="仿宋_GB2312" w:eastAsia="仿宋_GB2312" w:cs="宋体" w:hAnsiTheme="minorEastAsia"/>
          <w:kern w:val="0"/>
          <w:sz w:val="32"/>
          <w:szCs w:val="32"/>
        </w:rPr>
        <w:t xml:space="preserve"> 招标代理机构合并的，合并后存续的机构可以承继合并前各方中较高的资信评价等级，但应当符合相应的招标代理资信评价等级条件；合并后如新设立机构，其资信评价等级应当按照本办法的规定重新申请认定。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s="宋体" w:hAnsiTheme="minorEastAsia"/>
          <w:kern w:val="0"/>
          <w:sz w:val="32"/>
          <w:szCs w:val="32"/>
        </w:rPr>
      </w:pPr>
      <w:r>
        <w:rPr>
          <w:rFonts w:hint="eastAsia" w:ascii="仿宋_GB2312" w:eastAsia="仿宋_GB2312" w:hAnsiTheme="minorEastAsia"/>
          <w:b/>
          <w:bCs/>
          <w:sz w:val="32"/>
          <w:szCs w:val="32"/>
        </w:rPr>
        <w:t>第二十六条</w:t>
      </w:r>
      <w:r>
        <w:rPr>
          <w:rFonts w:hint="eastAsia" w:ascii="仿宋_GB2312" w:eastAsia="仿宋_GB2312" w:cs="宋体" w:hAnsiTheme="minorEastAsia"/>
          <w:kern w:val="0"/>
          <w:sz w:val="32"/>
          <w:szCs w:val="32"/>
        </w:rPr>
        <w:t xml:space="preserve"> 招标代理机构分立的，只能由分立后的一方招标代理机构承继原招标代理机构的资信评价等级，并应当符合相应的招标代理资信评价等级条件。承继原招标代理资信评价等级的一方由分立各方协商确定，其他各方的资信评价等级按照本办法的规定重新申请认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s="宋体" w:hAnsiTheme="minorEastAsia"/>
          <w:kern w:val="0"/>
          <w:sz w:val="32"/>
          <w:szCs w:val="32"/>
        </w:rPr>
      </w:pPr>
      <w:r>
        <w:rPr>
          <w:rFonts w:hint="eastAsia" w:ascii="仿宋_GB2312" w:eastAsia="仿宋_GB2312" w:hAnsiTheme="minorEastAsia"/>
          <w:b/>
          <w:bCs/>
          <w:sz w:val="32"/>
          <w:szCs w:val="32"/>
        </w:rPr>
        <w:t>第二十七条</w:t>
      </w:r>
      <w:r>
        <w:rPr>
          <w:rFonts w:hint="eastAsia" w:ascii="仿宋_GB2312" w:eastAsia="仿宋_GB2312" w:cs="宋体" w:hAnsiTheme="minorEastAsia"/>
          <w:kern w:val="0"/>
          <w:sz w:val="32"/>
          <w:szCs w:val="32"/>
        </w:rPr>
        <w:t xml:space="preserve"> 招标代理机构经核定获得新的资信评价等级后，须将原资信评价等级证书交回京标价协秘书处换领新的资信评价等级证书。</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s="宋体" w:hAnsiTheme="minorEastAsia"/>
          <w:kern w:val="0"/>
          <w:sz w:val="32"/>
          <w:szCs w:val="32"/>
        </w:rPr>
      </w:pPr>
      <w:r>
        <w:rPr>
          <w:rFonts w:hint="eastAsia" w:ascii="仿宋_GB2312" w:eastAsia="仿宋_GB2312" w:hAnsiTheme="minorEastAsia"/>
          <w:b/>
          <w:bCs/>
          <w:sz w:val="32"/>
          <w:szCs w:val="32"/>
        </w:rPr>
        <w:t>第二十八条</w:t>
      </w:r>
      <w:r>
        <w:rPr>
          <w:rFonts w:hint="eastAsia" w:ascii="仿宋_GB2312" w:eastAsia="仿宋_GB2312" w:hAnsiTheme="minorEastAsia"/>
          <w:sz w:val="32"/>
          <w:szCs w:val="32"/>
        </w:rPr>
        <w:t xml:space="preserve"> </w:t>
      </w:r>
      <w:r>
        <w:rPr>
          <w:rFonts w:hint="eastAsia" w:ascii="仿宋_GB2312" w:eastAsia="仿宋_GB2312" w:cs="宋体" w:hAnsiTheme="minorEastAsia"/>
          <w:kern w:val="0"/>
          <w:sz w:val="32"/>
          <w:szCs w:val="32"/>
        </w:rPr>
        <w:t>有下列情形之一，招标代理机构将被取消资信评价等级，并公告其资信评价等级证书作废：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（一）资信评价等级证书有效期届满未申请延续且超过三个月；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（二）招标代理机构被依法终止。</w:t>
      </w:r>
    </w:p>
    <w:p>
      <w:pPr>
        <w:pStyle w:val="9"/>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ascii="仿宋_GB2312" w:eastAsia="仿宋_GB2312" w:hAnsiTheme="minorEastAsia"/>
        </w:rPr>
      </w:pPr>
      <w:r>
        <w:rPr>
          <w:rFonts w:hint="eastAsia" w:ascii="仿宋_GB2312" w:eastAsia="仿宋_GB2312" w:hAnsiTheme="minorEastAsia"/>
        </w:rPr>
        <w:t>第六章  评价费用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第二十九条</w:t>
      </w:r>
      <w:r>
        <w:rPr>
          <w:rFonts w:hint="eastAsia" w:ascii="仿宋_GB2312" w:eastAsia="仿宋_GB2312" w:hAnsiTheme="minorEastAsia"/>
          <w:sz w:val="32"/>
          <w:szCs w:val="32"/>
        </w:rPr>
        <w:t xml:space="preserve"> 招标代理资信评价，不收取任何费用。</w:t>
      </w:r>
    </w:p>
    <w:p>
      <w:pPr>
        <w:pStyle w:val="9"/>
        <w:keepNext w:val="0"/>
        <w:keepLines w:val="0"/>
        <w:pageBreakBefore w:val="0"/>
        <w:widowControl w:val="0"/>
        <w:kinsoku/>
        <w:wordWrap/>
        <w:overflowPunct/>
        <w:topLinePunct w:val="0"/>
        <w:autoSpaceDE/>
        <w:autoSpaceDN/>
        <w:bidi w:val="0"/>
        <w:adjustRightInd/>
        <w:snapToGrid/>
        <w:spacing w:before="0" w:after="0" w:line="520" w:lineRule="exact"/>
        <w:textAlignment w:val="auto"/>
        <w:rPr>
          <w:rFonts w:ascii="仿宋_GB2312" w:eastAsia="仿宋_GB2312" w:hAnsiTheme="minorEastAsia"/>
        </w:rPr>
      </w:pPr>
      <w:r>
        <w:rPr>
          <w:rFonts w:hint="eastAsia" w:ascii="仿宋_GB2312" w:eastAsia="仿宋_GB2312" w:hAnsiTheme="minorEastAsia"/>
        </w:rPr>
        <w:t>第七章  监督和管理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s="宋体" w:hAnsiTheme="minorEastAsia"/>
          <w:kern w:val="0"/>
          <w:sz w:val="32"/>
          <w:szCs w:val="32"/>
        </w:rPr>
      </w:pPr>
      <w:r>
        <w:rPr>
          <w:rFonts w:hint="eastAsia" w:ascii="仿宋_GB2312" w:eastAsia="仿宋_GB2312" w:hAnsiTheme="minorEastAsia"/>
          <w:b/>
          <w:bCs/>
          <w:sz w:val="32"/>
          <w:szCs w:val="32"/>
        </w:rPr>
        <w:t>第三十条</w:t>
      </w:r>
      <w:r>
        <w:rPr>
          <w:rFonts w:hint="eastAsia" w:ascii="仿宋_GB2312" w:eastAsia="仿宋_GB2312" w:cs="宋体" w:hAnsiTheme="minorEastAsia"/>
          <w:kern w:val="0"/>
          <w:sz w:val="32"/>
          <w:szCs w:val="32"/>
        </w:rPr>
        <w:t xml:space="preserve"> 接受政府监管部门对获得资信评价等级证书的招标代理机构进行的监督，鼓励社会监督，发现获证招标代理机构有本办法第二十三条情形，以及违法或违规的其他行为的，有权举报和投诉，申诉委员会将对举报和投诉进行调查核实，情况属实的，按照本办法处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s="宋体" w:hAnsiTheme="minorEastAsia"/>
          <w:kern w:val="0"/>
          <w:sz w:val="32"/>
          <w:szCs w:val="32"/>
        </w:rPr>
      </w:pPr>
      <w:r>
        <w:rPr>
          <w:rFonts w:hint="eastAsia" w:ascii="仿宋_GB2312" w:eastAsia="仿宋_GB2312" w:hAnsiTheme="minorEastAsia"/>
          <w:b/>
          <w:bCs/>
          <w:sz w:val="32"/>
          <w:szCs w:val="32"/>
        </w:rPr>
        <w:t>第三十一条</w:t>
      </w:r>
      <w:r>
        <w:rPr>
          <w:rFonts w:hint="eastAsia" w:ascii="仿宋_GB2312" w:eastAsia="仿宋_GB2312" w:cs="宋体" w:hAnsiTheme="minorEastAsia"/>
          <w:kern w:val="0"/>
          <w:sz w:val="32"/>
          <w:szCs w:val="32"/>
        </w:rPr>
        <w:t xml:space="preserve"> 京标价协对招标代理资信评价结果的真实性和公正性承担责任，并接受政府监管部门和社会监督。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s="宋体" w:hAnsiTheme="minorEastAsia"/>
          <w:kern w:val="0"/>
          <w:sz w:val="32"/>
          <w:szCs w:val="32"/>
        </w:rPr>
      </w:pPr>
      <w:r>
        <w:rPr>
          <w:rFonts w:hint="eastAsia" w:ascii="仿宋_GB2312" w:eastAsia="仿宋_GB2312" w:hAnsiTheme="minorEastAsia"/>
          <w:b/>
          <w:bCs/>
          <w:sz w:val="32"/>
          <w:szCs w:val="32"/>
        </w:rPr>
        <w:t>第三十二条</w:t>
      </w:r>
      <w:r>
        <w:rPr>
          <w:rFonts w:hint="eastAsia" w:ascii="仿宋_GB2312" w:eastAsia="仿宋_GB2312" w:cs="宋体" w:hAnsiTheme="minorEastAsia"/>
          <w:kern w:val="0"/>
          <w:sz w:val="32"/>
          <w:szCs w:val="32"/>
        </w:rPr>
        <w:t xml:space="preserve"> 参与招标代理资信评价的专家和京标价协秘书处工作人员要坚持客观公正、实事求是的原则，认真严肃履行职责，保守企业商业秘密及个人隐私，与参评单位有利害关系的应主动回避。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s="宋体" w:hAnsiTheme="minorEastAsia"/>
          <w:kern w:val="0"/>
          <w:sz w:val="32"/>
          <w:szCs w:val="32"/>
        </w:rPr>
      </w:pPr>
      <w:r>
        <w:rPr>
          <w:rFonts w:hint="eastAsia" w:ascii="仿宋_GB2312" w:eastAsia="仿宋_GB2312" w:hAnsiTheme="minorEastAsia"/>
          <w:b/>
          <w:bCs/>
          <w:sz w:val="32"/>
          <w:szCs w:val="32"/>
        </w:rPr>
        <w:t>第三十三条</w:t>
      </w:r>
      <w:r>
        <w:rPr>
          <w:rFonts w:hint="eastAsia" w:ascii="仿宋_GB2312" w:eastAsia="仿宋_GB2312" w:cs="宋体" w:hAnsiTheme="minorEastAsia"/>
          <w:kern w:val="0"/>
          <w:sz w:val="32"/>
          <w:szCs w:val="32"/>
        </w:rPr>
        <w:t xml:space="preserve"> 参与招标代理资信评价的专家和京标价协秘书处工作人员违反本办法规定的，责令其改正；在工作中玩忽职守、弄虚作假、滥用职权、徇私舞弊的，提请相关单位对其进行行政处理；涉嫌犯罪的，提请司法机关依法追究其刑事责任。</w:t>
      </w:r>
    </w:p>
    <w:p>
      <w:pPr>
        <w:pStyle w:val="9"/>
        <w:keepNext w:val="0"/>
        <w:keepLines w:val="0"/>
        <w:pageBreakBefore w:val="0"/>
        <w:widowControl w:val="0"/>
        <w:kinsoku/>
        <w:wordWrap/>
        <w:overflowPunct/>
        <w:topLinePunct w:val="0"/>
        <w:autoSpaceDE/>
        <w:autoSpaceDN/>
        <w:bidi w:val="0"/>
        <w:adjustRightInd/>
        <w:snapToGrid/>
        <w:spacing w:before="0" w:after="0" w:line="520" w:lineRule="exact"/>
        <w:textAlignment w:val="auto"/>
        <w:rPr>
          <w:rFonts w:ascii="仿宋_GB2312" w:eastAsia="仿宋_GB2312" w:hAnsiTheme="minorEastAsia"/>
        </w:rPr>
      </w:pPr>
      <w:r>
        <w:rPr>
          <w:rFonts w:hint="eastAsia" w:ascii="仿宋_GB2312" w:eastAsia="仿宋_GB2312" w:hAnsiTheme="minorEastAsia"/>
        </w:rPr>
        <w:t>第八章  附  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s="宋体" w:hAnsiTheme="minorEastAsia"/>
          <w:kern w:val="0"/>
          <w:sz w:val="32"/>
          <w:szCs w:val="32"/>
        </w:rPr>
      </w:pPr>
      <w:r>
        <w:rPr>
          <w:rFonts w:hint="eastAsia" w:ascii="仿宋_GB2312" w:eastAsia="仿宋_GB2312" w:hAnsiTheme="minorEastAsia"/>
          <w:b/>
          <w:bCs/>
          <w:sz w:val="32"/>
          <w:szCs w:val="32"/>
        </w:rPr>
        <w:t>第三十四条</w:t>
      </w:r>
      <w:r>
        <w:rPr>
          <w:rFonts w:hint="eastAsia" w:ascii="仿宋_GB2312" w:eastAsia="仿宋_GB2312" w:hAnsiTheme="minorEastAsia"/>
          <w:sz w:val="32"/>
          <w:szCs w:val="32"/>
        </w:rPr>
        <w:t xml:space="preserve"> </w:t>
      </w:r>
      <w:r>
        <w:rPr>
          <w:rFonts w:hint="eastAsia" w:ascii="仿宋_GB2312" w:eastAsia="仿宋_GB2312" w:cs="宋体" w:hAnsiTheme="minorEastAsia"/>
          <w:kern w:val="0"/>
          <w:sz w:val="32"/>
          <w:szCs w:val="32"/>
        </w:rPr>
        <w:t>本办法由京标价协秘书处负责解释、修订。</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hAnsiTheme="minorEastAsia"/>
          <w:sz w:val="32"/>
          <w:szCs w:val="32"/>
        </w:rPr>
      </w:pPr>
      <w:r>
        <w:rPr>
          <w:rFonts w:hint="eastAsia" w:ascii="仿宋_GB2312" w:eastAsia="仿宋_GB2312" w:hAnsiTheme="minorEastAsia"/>
          <w:b/>
          <w:bCs/>
          <w:sz w:val="32"/>
          <w:szCs w:val="32"/>
        </w:rPr>
        <w:t>第三十五条</w:t>
      </w:r>
      <w:r>
        <w:rPr>
          <w:rFonts w:hint="eastAsia" w:ascii="仿宋_GB2312" w:eastAsia="仿宋_GB2312" w:hAnsiTheme="minorEastAsia"/>
          <w:sz w:val="32"/>
          <w:szCs w:val="32"/>
        </w:rPr>
        <w:t xml:space="preserve"> </w:t>
      </w:r>
      <w:r>
        <w:rPr>
          <w:rFonts w:hint="eastAsia" w:ascii="仿宋_GB2312" w:eastAsia="仿宋_GB2312" w:cs="宋体" w:hAnsiTheme="minorEastAsia"/>
          <w:kern w:val="0"/>
          <w:sz w:val="32"/>
          <w:szCs w:val="32"/>
        </w:rPr>
        <w:t>本办法经会长办公会审议通过，</w:t>
      </w:r>
      <w:r>
        <w:rPr>
          <w:rFonts w:hint="eastAsia" w:ascii="仿宋_GB2312" w:eastAsia="仿宋_GB2312" w:hAnsiTheme="minorEastAsia"/>
          <w:sz w:val="32"/>
          <w:szCs w:val="32"/>
        </w:rPr>
        <w:t>自颁布之日起实施。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ascii="仿宋" w:hAnsi="仿宋" w:eastAsia="仿宋" w:cs="仿宋"/>
          <w:sz w:val="32"/>
          <w:szCs w:val="32"/>
        </w:rPr>
      </w:pPr>
      <w:r>
        <w:rPr>
          <w:rFonts w:hint="eastAsia" w:ascii="仿宋_GB2312" w:eastAsia="仿宋_GB2312" w:hAnsiTheme="minorEastAsia"/>
          <w:sz w:val="32"/>
          <w:szCs w:val="32"/>
        </w:rPr>
        <w:t xml:space="preserve">           </w:t>
      </w:r>
      <w:r>
        <w:rPr>
          <w:rFonts w:hint="eastAsia" w:ascii="仿宋" w:hAnsi="仿宋" w:eastAsia="仿宋" w:cs="仿宋"/>
          <w:sz w:val="32"/>
          <w:szCs w:val="32"/>
        </w:rPr>
        <w:t xml:space="preserve">北京市建设工程招标投标和造价管理协会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ascii="仿宋_GB2312" w:eastAsia="仿宋_GB2312" w:hAnsiTheme="minorEastAsia"/>
          <w:sz w:val="32"/>
          <w:szCs w:val="32"/>
        </w:rPr>
      </w:pPr>
      <w:r>
        <w:rPr>
          <w:rFonts w:hint="eastAsia" w:ascii="仿宋" w:hAnsi="仿宋" w:eastAsia="仿宋" w:cs="仿宋"/>
          <w:sz w:val="32"/>
          <w:szCs w:val="32"/>
        </w:rPr>
        <w:t xml:space="preserve">                  二○一九年五月二十二日</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1579"/>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46CA"/>
    <w:rsid w:val="00006F51"/>
    <w:rsid w:val="00007186"/>
    <w:rsid w:val="00007BBD"/>
    <w:rsid w:val="0001608D"/>
    <w:rsid w:val="00022765"/>
    <w:rsid w:val="00022C42"/>
    <w:rsid w:val="000233E0"/>
    <w:rsid w:val="00026123"/>
    <w:rsid w:val="00026DF6"/>
    <w:rsid w:val="0002763E"/>
    <w:rsid w:val="0002788C"/>
    <w:rsid w:val="00033FBD"/>
    <w:rsid w:val="00034082"/>
    <w:rsid w:val="000376EF"/>
    <w:rsid w:val="000426B5"/>
    <w:rsid w:val="000428E3"/>
    <w:rsid w:val="00045CBB"/>
    <w:rsid w:val="00051CF7"/>
    <w:rsid w:val="00056DCA"/>
    <w:rsid w:val="00056F7C"/>
    <w:rsid w:val="000572B8"/>
    <w:rsid w:val="00057BD8"/>
    <w:rsid w:val="000613C3"/>
    <w:rsid w:val="00066704"/>
    <w:rsid w:val="00072460"/>
    <w:rsid w:val="00073FC6"/>
    <w:rsid w:val="00074678"/>
    <w:rsid w:val="00076D1B"/>
    <w:rsid w:val="00076D1D"/>
    <w:rsid w:val="0007738B"/>
    <w:rsid w:val="00083778"/>
    <w:rsid w:val="00095CD9"/>
    <w:rsid w:val="00095F72"/>
    <w:rsid w:val="000A129A"/>
    <w:rsid w:val="000A1A54"/>
    <w:rsid w:val="000A2446"/>
    <w:rsid w:val="000A663E"/>
    <w:rsid w:val="000A6E6F"/>
    <w:rsid w:val="000A73C1"/>
    <w:rsid w:val="000B0EFE"/>
    <w:rsid w:val="000B163A"/>
    <w:rsid w:val="000B1BB4"/>
    <w:rsid w:val="000B5137"/>
    <w:rsid w:val="000B5EBF"/>
    <w:rsid w:val="000B6777"/>
    <w:rsid w:val="000C25D0"/>
    <w:rsid w:val="000C39B4"/>
    <w:rsid w:val="000D1746"/>
    <w:rsid w:val="000D1A13"/>
    <w:rsid w:val="000D1D6A"/>
    <w:rsid w:val="000D2E87"/>
    <w:rsid w:val="000D5D2B"/>
    <w:rsid w:val="000D5DE0"/>
    <w:rsid w:val="000E4580"/>
    <w:rsid w:val="000F3E41"/>
    <w:rsid w:val="000F4A1A"/>
    <w:rsid w:val="000F63BB"/>
    <w:rsid w:val="0010186D"/>
    <w:rsid w:val="00102F61"/>
    <w:rsid w:val="0010533A"/>
    <w:rsid w:val="00107E04"/>
    <w:rsid w:val="001130E8"/>
    <w:rsid w:val="00113A96"/>
    <w:rsid w:val="00116E95"/>
    <w:rsid w:val="00117F4E"/>
    <w:rsid w:val="001224B2"/>
    <w:rsid w:val="00122F77"/>
    <w:rsid w:val="0012345A"/>
    <w:rsid w:val="00130622"/>
    <w:rsid w:val="00132831"/>
    <w:rsid w:val="00132F17"/>
    <w:rsid w:val="001337BA"/>
    <w:rsid w:val="00144039"/>
    <w:rsid w:val="0014690C"/>
    <w:rsid w:val="00146E2A"/>
    <w:rsid w:val="00150072"/>
    <w:rsid w:val="00155960"/>
    <w:rsid w:val="00155BAB"/>
    <w:rsid w:val="001578FA"/>
    <w:rsid w:val="00160088"/>
    <w:rsid w:val="0016514D"/>
    <w:rsid w:val="001665C0"/>
    <w:rsid w:val="0016702E"/>
    <w:rsid w:val="001679B1"/>
    <w:rsid w:val="001715C5"/>
    <w:rsid w:val="0017215A"/>
    <w:rsid w:val="00173139"/>
    <w:rsid w:val="0018197C"/>
    <w:rsid w:val="00182607"/>
    <w:rsid w:val="001834F0"/>
    <w:rsid w:val="00185DC3"/>
    <w:rsid w:val="00187B17"/>
    <w:rsid w:val="0019582F"/>
    <w:rsid w:val="0019650E"/>
    <w:rsid w:val="00196610"/>
    <w:rsid w:val="001A6587"/>
    <w:rsid w:val="001B30CC"/>
    <w:rsid w:val="001E2C1C"/>
    <w:rsid w:val="001E51E9"/>
    <w:rsid w:val="001F4BEE"/>
    <w:rsid w:val="002040C5"/>
    <w:rsid w:val="00206057"/>
    <w:rsid w:val="00211F10"/>
    <w:rsid w:val="002131F9"/>
    <w:rsid w:val="002146CA"/>
    <w:rsid w:val="00215766"/>
    <w:rsid w:val="002157D0"/>
    <w:rsid w:val="00221064"/>
    <w:rsid w:val="00222C8B"/>
    <w:rsid w:val="00224039"/>
    <w:rsid w:val="00227BCB"/>
    <w:rsid w:val="00235EB7"/>
    <w:rsid w:val="0023644B"/>
    <w:rsid w:val="00236632"/>
    <w:rsid w:val="00237919"/>
    <w:rsid w:val="00237AD3"/>
    <w:rsid w:val="00240C21"/>
    <w:rsid w:val="00244E17"/>
    <w:rsid w:val="00250616"/>
    <w:rsid w:val="0025302A"/>
    <w:rsid w:val="00260061"/>
    <w:rsid w:val="00263F26"/>
    <w:rsid w:val="00267A0E"/>
    <w:rsid w:val="0027085F"/>
    <w:rsid w:val="00274AD8"/>
    <w:rsid w:val="002827ED"/>
    <w:rsid w:val="00283796"/>
    <w:rsid w:val="00285704"/>
    <w:rsid w:val="002878C8"/>
    <w:rsid w:val="00296E39"/>
    <w:rsid w:val="002A092A"/>
    <w:rsid w:val="002A166A"/>
    <w:rsid w:val="002A39D6"/>
    <w:rsid w:val="002B1133"/>
    <w:rsid w:val="002B2D58"/>
    <w:rsid w:val="002C2792"/>
    <w:rsid w:val="002D10A4"/>
    <w:rsid w:val="002D4368"/>
    <w:rsid w:val="002D684C"/>
    <w:rsid w:val="002E1617"/>
    <w:rsid w:val="002F086F"/>
    <w:rsid w:val="002F0EBF"/>
    <w:rsid w:val="002F0F20"/>
    <w:rsid w:val="002F6390"/>
    <w:rsid w:val="003008E5"/>
    <w:rsid w:val="003015C7"/>
    <w:rsid w:val="003113D8"/>
    <w:rsid w:val="00315224"/>
    <w:rsid w:val="003179DA"/>
    <w:rsid w:val="003201DC"/>
    <w:rsid w:val="003241ED"/>
    <w:rsid w:val="00324F46"/>
    <w:rsid w:val="0033204B"/>
    <w:rsid w:val="003327F6"/>
    <w:rsid w:val="00332973"/>
    <w:rsid w:val="00333497"/>
    <w:rsid w:val="00333912"/>
    <w:rsid w:val="003339B9"/>
    <w:rsid w:val="00340E1D"/>
    <w:rsid w:val="00340F26"/>
    <w:rsid w:val="00341161"/>
    <w:rsid w:val="003413A1"/>
    <w:rsid w:val="00341957"/>
    <w:rsid w:val="00342F9A"/>
    <w:rsid w:val="0034525E"/>
    <w:rsid w:val="0035227C"/>
    <w:rsid w:val="00352E40"/>
    <w:rsid w:val="00355800"/>
    <w:rsid w:val="00363029"/>
    <w:rsid w:val="00366691"/>
    <w:rsid w:val="003701A8"/>
    <w:rsid w:val="003748C4"/>
    <w:rsid w:val="00374999"/>
    <w:rsid w:val="003761F9"/>
    <w:rsid w:val="0037700E"/>
    <w:rsid w:val="00386F0F"/>
    <w:rsid w:val="0039353D"/>
    <w:rsid w:val="00395495"/>
    <w:rsid w:val="003A724B"/>
    <w:rsid w:val="003B53D2"/>
    <w:rsid w:val="003C0048"/>
    <w:rsid w:val="003C21DE"/>
    <w:rsid w:val="003C70B3"/>
    <w:rsid w:val="003D38AF"/>
    <w:rsid w:val="003D44DE"/>
    <w:rsid w:val="003E0891"/>
    <w:rsid w:val="003E2A01"/>
    <w:rsid w:val="003E552A"/>
    <w:rsid w:val="003E6914"/>
    <w:rsid w:val="003F1D88"/>
    <w:rsid w:val="003F3ABB"/>
    <w:rsid w:val="003F4B24"/>
    <w:rsid w:val="003F7D58"/>
    <w:rsid w:val="0040204E"/>
    <w:rsid w:val="00402C9C"/>
    <w:rsid w:val="00404CFC"/>
    <w:rsid w:val="00411648"/>
    <w:rsid w:val="004137C8"/>
    <w:rsid w:val="0041556D"/>
    <w:rsid w:val="004279F6"/>
    <w:rsid w:val="004304CA"/>
    <w:rsid w:val="00430CF2"/>
    <w:rsid w:val="00432B4F"/>
    <w:rsid w:val="00435200"/>
    <w:rsid w:val="004355E5"/>
    <w:rsid w:val="0043581A"/>
    <w:rsid w:val="00436B91"/>
    <w:rsid w:val="004457A4"/>
    <w:rsid w:val="00447301"/>
    <w:rsid w:val="004527DB"/>
    <w:rsid w:val="00454A55"/>
    <w:rsid w:val="00455FDE"/>
    <w:rsid w:val="00456319"/>
    <w:rsid w:val="00461F46"/>
    <w:rsid w:val="00465450"/>
    <w:rsid w:val="004669A9"/>
    <w:rsid w:val="00467018"/>
    <w:rsid w:val="004673A1"/>
    <w:rsid w:val="00470AA6"/>
    <w:rsid w:val="00480A97"/>
    <w:rsid w:val="004840F3"/>
    <w:rsid w:val="00484149"/>
    <w:rsid w:val="004842D1"/>
    <w:rsid w:val="00484CF8"/>
    <w:rsid w:val="00485BBE"/>
    <w:rsid w:val="00485E18"/>
    <w:rsid w:val="004862D2"/>
    <w:rsid w:val="00497328"/>
    <w:rsid w:val="004A6329"/>
    <w:rsid w:val="004B1E9B"/>
    <w:rsid w:val="004B6A0D"/>
    <w:rsid w:val="004C09D6"/>
    <w:rsid w:val="004C4AAF"/>
    <w:rsid w:val="004C6B08"/>
    <w:rsid w:val="004D65D6"/>
    <w:rsid w:val="004D6FB1"/>
    <w:rsid w:val="004E413A"/>
    <w:rsid w:val="004E4339"/>
    <w:rsid w:val="004E4B35"/>
    <w:rsid w:val="004E520F"/>
    <w:rsid w:val="004F38C6"/>
    <w:rsid w:val="00501AF0"/>
    <w:rsid w:val="005040E3"/>
    <w:rsid w:val="00512426"/>
    <w:rsid w:val="00522973"/>
    <w:rsid w:val="00522B3B"/>
    <w:rsid w:val="00525A08"/>
    <w:rsid w:val="00527307"/>
    <w:rsid w:val="00533668"/>
    <w:rsid w:val="00540B37"/>
    <w:rsid w:val="00543E2F"/>
    <w:rsid w:val="00546BC6"/>
    <w:rsid w:val="00552629"/>
    <w:rsid w:val="0055634F"/>
    <w:rsid w:val="005567C0"/>
    <w:rsid w:val="00556EBA"/>
    <w:rsid w:val="00560396"/>
    <w:rsid w:val="0057224B"/>
    <w:rsid w:val="005742E3"/>
    <w:rsid w:val="005746C7"/>
    <w:rsid w:val="0057547E"/>
    <w:rsid w:val="005807AE"/>
    <w:rsid w:val="00584AC3"/>
    <w:rsid w:val="00590A94"/>
    <w:rsid w:val="00591061"/>
    <w:rsid w:val="005946C3"/>
    <w:rsid w:val="005A171C"/>
    <w:rsid w:val="005A364D"/>
    <w:rsid w:val="005A4834"/>
    <w:rsid w:val="005A674E"/>
    <w:rsid w:val="005B6F37"/>
    <w:rsid w:val="005B797D"/>
    <w:rsid w:val="005C25D8"/>
    <w:rsid w:val="005C2D81"/>
    <w:rsid w:val="005C5326"/>
    <w:rsid w:val="005C7273"/>
    <w:rsid w:val="005D45EC"/>
    <w:rsid w:val="005E12C2"/>
    <w:rsid w:val="005E3FDF"/>
    <w:rsid w:val="005F01CA"/>
    <w:rsid w:val="005F2C28"/>
    <w:rsid w:val="005F5D8A"/>
    <w:rsid w:val="005F7581"/>
    <w:rsid w:val="00601067"/>
    <w:rsid w:val="00605C31"/>
    <w:rsid w:val="00606133"/>
    <w:rsid w:val="006066A5"/>
    <w:rsid w:val="00613336"/>
    <w:rsid w:val="00613B32"/>
    <w:rsid w:val="00616DA0"/>
    <w:rsid w:val="00620DCD"/>
    <w:rsid w:val="0062178E"/>
    <w:rsid w:val="00622A2C"/>
    <w:rsid w:val="00623DB8"/>
    <w:rsid w:val="00624F66"/>
    <w:rsid w:val="0062742A"/>
    <w:rsid w:val="0063104B"/>
    <w:rsid w:val="006337B4"/>
    <w:rsid w:val="00644414"/>
    <w:rsid w:val="006549CC"/>
    <w:rsid w:val="006770B0"/>
    <w:rsid w:val="006771B8"/>
    <w:rsid w:val="00677F76"/>
    <w:rsid w:val="00680AE6"/>
    <w:rsid w:val="00681521"/>
    <w:rsid w:val="00682DF1"/>
    <w:rsid w:val="006830FA"/>
    <w:rsid w:val="006852F2"/>
    <w:rsid w:val="0068611F"/>
    <w:rsid w:val="00691289"/>
    <w:rsid w:val="00692020"/>
    <w:rsid w:val="006A04B9"/>
    <w:rsid w:val="006A09A0"/>
    <w:rsid w:val="006A4128"/>
    <w:rsid w:val="006A69C1"/>
    <w:rsid w:val="006B12B6"/>
    <w:rsid w:val="006B5462"/>
    <w:rsid w:val="006B755D"/>
    <w:rsid w:val="006C2E7B"/>
    <w:rsid w:val="006C4205"/>
    <w:rsid w:val="006C61C6"/>
    <w:rsid w:val="006C759D"/>
    <w:rsid w:val="006D19F5"/>
    <w:rsid w:val="006D44ED"/>
    <w:rsid w:val="006D4B13"/>
    <w:rsid w:val="006D6017"/>
    <w:rsid w:val="006E20D6"/>
    <w:rsid w:val="006E264D"/>
    <w:rsid w:val="006E46A1"/>
    <w:rsid w:val="006E7C73"/>
    <w:rsid w:val="006F45FC"/>
    <w:rsid w:val="006F4BA0"/>
    <w:rsid w:val="006F4CC1"/>
    <w:rsid w:val="006F6D54"/>
    <w:rsid w:val="006F7110"/>
    <w:rsid w:val="007020AB"/>
    <w:rsid w:val="00710A22"/>
    <w:rsid w:val="007146A3"/>
    <w:rsid w:val="00716BA0"/>
    <w:rsid w:val="00717B5A"/>
    <w:rsid w:val="00720DFF"/>
    <w:rsid w:val="00722707"/>
    <w:rsid w:val="00722C11"/>
    <w:rsid w:val="00724CBD"/>
    <w:rsid w:val="007314DF"/>
    <w:rsid w:val="007377D8"/>
    <w:rsid w:val="00743FCC"/>
    <w:rsid w:val="007443A0"/>
    <w:rsid w:val="00746416"/>
    <w:rsid w:val="007533F8"/>
    <w:rsid w:val="007562C5"/>
    <w:rsid w:val="00760C1C"/>
    <w:rsid w:val="0076184F"/>
    <w:rsid w:val="00776687"/>
    <w:rsid w:val="007775A9"/>
    <w:rsid w:val="007801E1"/>
    <w:rsid w:val="00780E3E"/>
    <w:rsid w:val="007873CD"/>
    <w:rsid w:val="0079017A"/>
    <w:rsid w:val="00790D78"/>
    <w:rsid w:val="007914ED"/>
    <w:rsid w:val="00791DB4"/>
    <w:rsid w:val="007936A8"/>
    <w:rsid w:val="00796D73"/>
    <w:rsid w:val="00796FC1"/>
    <w:rsid w:val="007A5059"/>
    <w:rsid w:val="007A6C70"/>
    <w:rsid w:val="007A71FB"/>
    <w:rsid w:val="007A7A85"/>
    <w:rsid w:val="007B057A"/>
    <w:rsid w:val="007B4115"/>
    <w:rsid w:val="007B6480"/>
    <w:rsid w:val="007C6FFB"/>
    <w:rsid w:val="007C7333"/>
    <w:rsid w:val="007D042E"/>
    <w:rsid w:val="007D41DA"/>
    <w:rsid w:val="007D512E"/>
    <w:rsid w:val="007F17E5"/>
    <w:rsid w:val="008010E0"/>
    <w:rsid w:val="00801879"/>
    <w:rsid w:val="00802A4C"/>
    <w:rsid w:val="008033CA"/>
    <w:rsid w:val="00807216"/>
    <w:rsid w:val="008229A8"/>
    <w:rsid w:val="008343BE"/>
    <w:rsid w:val="008372C2"/>
    <w:rsid w:val="00843FC1"/>
    <w:rsid w:val="00852803"/>
    <w:rsid w:val="00862F1B"/>
    <w:rsid w:val="00863CC7"/>
    <w:rsid w:val="008656E7"/>
    <w:rsid w:val="00866182"/>
    <w:rsid w:val="0086725A"/>
    <w:rsid w:val="00867AEB"/>
    <w:rsid w:val="0087173C"/>
    <w:rsid w:val="008728A3"/>
    <w:rsid w:val="008737EE"/>
    <w:rsid w:val="00873CE0"/>
    <w:rsid w:val="0087671A"/>
    <w:rsid w:val="00876C36"/>
    <w:rsid w:val="008803E3"/>
    <w:rsid w:val="008823B0"/>
    <w:rsid w:val="00884DB5"/>
    <w:rsid w:val="008906D6"/>
    <w:rsid w:val="00891E33"/>
    <w:rsid w:val="00892669"/>
    <w:rsid w:val="00895098"/>
    <w:rsid w:val="008A3174"/>
    <w:rsid w:val="008A442E"/>
    <w:rsid w:val="008A7256"/>
    <w:rsid w:val="008B127D"/>
    <w:rsid w:val="008B4FCB"/>
    <w:rsid w:val="008B72CF"/>
    <w:rsid w:val="008C0068"/>
    <w:rsid w:val="008C28ED"/>
    <w:rsid w:val="008C45F8"/>
    <w:rsid w:val="008C71AB"/>
    <w:rsid w:val="008C74E8"/>
    <w:rsid w:val="008D0E95"/>
    <w:rsid w:val="008D26D2"/>
    <w:rsid w:val="008D459D"/>
    <w:rsid w:val="008D47AD"/>
    <w:rsid w:val="008D68EC"/>
    <w:rsid w:val="008E572F"/>
    <w:rsid w:val="008E708F"/>
    <w:rsid w:val="008E7890"/>
    <w:rsid w:val="008F11D6"/>
    <w:rsid w:val="008F559B"/>
    <w:rsid w:val="00900B66"/>
    <w:rsid w:val="009017B5"/>
    <w:rsid w:val="009024F3"/>
    <w:rsid w:val="009238CD"/>
    <w:rsid w:val="0093752E"/>
    <w:rsid w:val="009413F7"/>
    <w:rsid w:val="00943E93"/>
    <w:rsid w:val="00947546"/>
    <w:rsid w:val="00952DBF"/>
    <w:rsid w:val="00956C9C"/>
    <w:rsid w:val="00960CA3"/>
    <w:rsid w:val="00972111"/>
    <w:rsid w:val="00973445"/>
    <w:rsid w:val="00976AC4"/>
    <w:rsid w:val="00977598"/>
    <w:rsid w:val="0098005E"/>
    <w:rsid w:val="00986D79"/>
    <w:rsid w:val="00990A7E"/>
    <w:rsid w:val="009967BF"/>
    <w:rsid w:val="009A52CB"/>
    <w:rsid w:val="009A5E49"/>
    <w:rsid w:val="009A77B4"/>
    <w:rsid w:val="009C281F"/>
    <w:rsid w:val="009C38C3"/>
    <w:rsid w:val="009C53BB"/>
    <w:rsid w:val="009D0016"/>
    <w:rsid w:val="009D1429"/>
    <w:rsid w:val="009D1F26"/>
    <w:rsid w:val="009D4C2D"/>
    <w:rsid w:val="009E19A7"/>
    <w:rsid w:val="009E1B79"/>
    <w:rsid w:val="009E1CBF"/>
    <w:rsid w:val="009E5128"/>
    <w:rsid w:val="009E56E3"/>
    <w:rsid w:val="009E6F21"/>
    <w:rsid w:val="009F668E"/>
    <w:rsid w:val="00A00AAF"/>
    <w:rsid w:val="00A00D2F"/>
    <w:rsid w:val="00A05F6C"/>
    <w:rsid w:val="00A07808"/>
    <w:rsid w:val="00A13A13"/>
    <w:rsid w:val="00A15D7A"/>
    <w:rsid w:val="00A3228E"/>
    <w:rsid w:val="00A40AA0"/>
    <w:rsid w:val="00A424DD"/>
    <w:rsid w:val="00A4595A"/>
    <w:rsid w:val="00A47DF2"/>
    <w:rsid w:val="00A54C62"/>
    <w:rsid w:val="00A652F4"/>
    <w:rsid w:val="00A70068"/>
    <w:rsid w:val="00A74C42"/>
    <w:rsid w:val="00A759B2"/>
    <w:rsid w:val="00A830D0"/>
    <w:rsid w:val="00A953B9"/>
    <w:rsid w:val="00AA1C30"/>
    <w:rsid w:val="00AA2533"/>
    <w:rsid w:val="00AA2D60"/>
    <w:rsid w:val="00AA30F0"/>
    <w:rsid w:val="00AB0ECE"/>
    <w:rsid w:val="00AC6E2F"/>
    <w:rsid w:val="00AC7D90"/>
    <w:rsid w:val="00AD0C13"/>
    <w:rsid w:val="00AD148B"/>
    <w:rsid w:val="00AD2ACA"/>
    <w:rsid w:val="00AD4E10"/>
    <w:rsid w:val="00AD4F60"/>
    <w:rsid w:val="00AD7B15"/>
    <w:rsid w:val="00AE68ED"/>
    <w:rsid w:val="00AF3B39"/>
    <w:rsid w:val="00AF5462"/>
    <w:rsid w:val="00AF692C"/>
    <w:rsid w:val="00B05E92"/>
    <w:rsid w:val="00B10EA1"/>
    <w:rsid w:val="00B14110"/>
    <w:rsid w:val="00B164B0"/>
    <w:rsid w:val="00B23E7B"/>
    <w:rsid w:val="00B23E88"/>
    <w:rsid w:val="00B262F1"/>
    <w:rsid w:val="00B2747E"/>
    <w:rsid w:val="00B30ACA"/>
    <w:rsid w:val="00B3454A"/>
    <w:rsid w:val="00B4214B"/>
    <w:rsid w:val="00B4495E"/>
    <w:rsid w:val="00B463AA"/>
    <w:rsid w:val="00B465D9"/>
    <w:rsid w:val="00B537B8"/>
    <w:rsid w:val="00B555EE"/>
    <w:rsid w:val="00B55940"/>
    <w:rsid w:val="00B55F3A"/>
    <w:rsid w:val="00B57B6C"/>
    <w:rsid w:val="00B57C54"/>
    <w:rsid w:val="00B64EB4"/>
    <w:rsid w:val="00B73067"/>
    <w:rsid w:val="00B76599"/>
    <w:rsid w:val="00B81905"/>
    <w:rsid w:val="00B82B12"/>
    <w:rsid w:val="00B8437F"/>
    <w:rsid w:val="00B91736"/>
    <w:rsid w:val="00B93330"/>
    <w:rsid w:val="00BA0402"/>
    <w:rsid w:val="00BA4409"/>
    <w:rsid w:val="00BA51C5"/>
    <w:rsid w:val="00BB50AC"/>
    <w:rsid w:val="00BB67EE"/>
    <w:rsid w:val="00BC15CE"/>
    <w:rsid w:val="00BD4947"/>
    <w:rsid w:val="00BD51A0"/>
    <w:rsid w:val="00BE22B4"/>
    <w:rsid w:val="00BE2463"/>
    <w:rsid w:val="00BF016F"/>
    <w:rsid w:val="00BF1F1A"/>
    <w:rsid w:val="00C01285"/>
    <w:rsid w:val="00C01C60"/>
    <w:rsid w:val="00C02DF8"/>
    <w:rsid w:val="00C10C45"/>
    <w:rsid w:val="00C167A8"/>
    <w:rsid w:val="00C2005A"/>
    <w:rsid w:val="00C25880"/>
    <w:rsid w:val="00C26C79"/>
    <w:rsid w:val="00C32978"/>
    <w:rsid w:val="00C431BA"/>
    <w:rsid w:val="00C43792"/>
    <w:rsid w:val="00C44583"/>
    <w:rsid w:val="00C51B2A"/>
    <w:rsid w:val="00C522A6"/>
    <w:rsid w:val="00C5498E"/>
    <w:rsid w:val="00C57BAE"/>
    <w:rsid w:val="00C66B47"/>
    <w:rsid w:val="00C70DFB"/>
    <w:rsid w:val="00C7169A"/>
    <w:rsid w:val="00C71A44"/>
    <w:rsid w:val="00C75190"/>
    <w:rsid w:val="00C772AA"/>
    <w:rsid w:val="00C77E41"/>
    <w:rsid w:val="00C866D4"/>
    <w:rsid w:val="00C915C6"/>
    <w:rsid w:val="00CA2839"/>
    <w:rsid w:val="00CA3A2F"/>
    <w:rsid w:val="00CA5B85"/>
    <w:rsid w:val="00CA6FE8"/>
    <w:rsid w:val="00CA7EE4"/>
    <w:rsid w:val="00CB4315"/>
    <w:rsid w:val="00CC074C"/>
    <w:rsid w:val="00CC3E59"/>
    <w:rsid w:val="00CC5D42"/>
    <w:rsid w:val="00CD56B6"/>
    <w:rsid w:val="00CD589B"/>
    <w:rsid w:val="00CD6594"/>
    <w:rsid w:val="00CE0DC3"/>
    <w:rsid w:val="00CE3AA4"/>
    <w:rsid w:val="00CE41A2"/>
    <w:rsid w:val="00CF083F"/>
    <w:rsid w:val="00CF0C7F"/>
    <w:rsid w:val="00CF3CDE"/>
    <w:rsid w:val="00CF3EF2"/>
    <w:rsid w:val="00CF56AF"/>
    <w:rsid w:val="00D11801"/>
    <w:rsid w:val="00D16B27"/>
    <w:rsid w:val="00D17C7F"/>
    <w:rsid w:val="00D20E26"/>
    <w:rsid w:val="00D24B07"/>
    <w:rsid w:val="00D340E2"/>
    <w:rsid w:val="00D613BD"/>
    <w:rsid w:val="00D614B2"/>
    <w:rsid w:val="00D61F78"/>
    <w:rsid w:val="00D622C8"/>
    <w:rsid w:val="00D62495"/>
    <w:rsid w:val="00D67300"/>
    <w:rsid w:val="00D71268"/>
    <w:rsid w:val="00D74C7C"/>
    <w:rsid w:val="00D75864"/>
    <w:rsid w:val="00D809B8"/>
    <w:rsid w:val="00D825B6"/>
    <w:rsid w:val="00D85DDC"/>
    <w:rsid w:val="00D93A2A"/>
    <w:rsid w:val="00D9687F"/>
    <w:rsid w:val="00DB07A7"/>
    <w:rsid w:val="00DB3801"/>
    <w:rsid w:val="00DB3891"/>
    <w:rsid w:val="00DB7905"/>
    <w:rsid w:val="00DC29FF"/>
    <w:rsid w:val="00DC6C39"/>
    <w:rsid w:val="00DD30E7"/>
    <w:rsid w:val="00DD4E30"/>
    <w:rsid w:val="00DD687B"/>
    <w:rsid w:val="00DE12DA"/>
    <w:rsid w:val="00DE21DA"/>
    <w:rsid w:val="00DE27EB"/>
    <w:rsid w:val="00DE3D35"/>
    <w:rsid w:val="00DE6407"/>
    <w:rsid w:val="00DE6C06"/>
    <w:rsid w:val="00DF049C"/>
    <w:rsid w:val="00DF04B9"/>
    <w:rsid w:val="00DF3BC4"/>
    <w:rsid w:val="00DF747B"/>
    <w:rsid w:val="00E0336F"/>
    <w:rsid w:val="00E036C3"/>
    <w:rsid w:val="00E10FF2"/>
    <w:rsid w:val="00E27340"/>
    <w:rsid w:val="00E30CE5"/>
    <w:rsid w:val="00E411EA"/>
    <w:rsid w:val="00E43E5D"/>
    <w:rsid w:val="00E61876"/>
    <w:rsid w:val="00E6461D"/>
    <w:rsid w:val="00E653D0"/>
    <w:rsid w:val="00E679EC"/>
    <w:rsid w:val="00E73194"/>
    <w:rsid w:val="00E80421"/>
    <w:rsid w:val="00E82DB8"/>
    <w:rsid w:val="00E83670"/>
    <w:rsid w:val="00E877BD"/>
    <w:rsid w:val="00EA10DE"/>
    <w:rsid w:val="00EA11A7"/>
    <w:rsid w:val="00EA167E"/>
    <w:rsid w:val="00EA2162"/>
    <w:rsid w:val="00EA5514"/>
    <w:rsid w:val="00EA6287"/>
    <w:rsid w:val="00EB278F"/>
    <w:rsid w:val="00EB2FC4"/>
    <w:rsid w:val="00EB5060"/>
    <w:rsid w:val="00EB50FF"/>
    <w:rsid w:val="00EB6567"/>
    <w:rsid w:val="00EC2644"/>
    <w:rsid w:val="00EC41AD"/>
    <w:rsid w:val="00EC43F6"/>
    <w:rsid w:val="00EC6822"/>
    <w:rsid w:val="00EC7FAE"/>
    <w:rsid w:val="00ED1962"/>
    <w:rsid w:val="00ED31BD"/>
    <w:rsid w:val="00EE3526"/>
    <w:rsid w:val="00EE42AD"/>
    <w:rsid w:val="00EE654E"/>
    <w:rsid w:val="00EF3EFD"/>
    <w:rsid w:val="00EF7393"/>
    <w:rsid w:val="00F04973"/>
    <w:rsid w:val="00F13C69"/>
    <w:rsid w:val="00F1439E"/>
    <w:rsid w:val="00F14678"/>
    <w:rsid w:val="00F1581D"/>
    <w:rsid w:val="00F15BB7"/>
    <w:rsid w:val="00F24072"/>
    <w:rsid w:val="00F24CE5"/>
    <w:rsid w:val="00F25C6C"/>
    <w:rsid w:val="00F2720C"/>
    <w:rsid w:val="00F30196"/>
    <w:rsid w:val="00F30EB5"/>
    <w:rsid w:val="00F30FC4"/>
    <w:rsid w:val="00F377E0"/>
    <w:rsid w:val="00F44FF2"/>
    <w:rsid w:val="00F45B9F"/>
    <w:rsid w:val="00F61101"/>
    <w:rsid w:val="00F71D0D"/>
    <w:rsid w:val="00F74651"/>
    <w:rsid w:val="00F755A9"/>
    <w:rsid w:val="00F82BC3"/>
    <w:rsid w:val="00F834DC"/>
    <w:rsid w:val="00F869AE"/>
    <w:rsid w:val="00F97832"/>
    <w:rsid w:val="00FA0559"/>
    <w:rsid w:val="00FA698C"/>
    <w:rsid w:val="00FB12E7"/>
    <w:rsid w:val="00FB1712"/>
    <w:rsid w:val="00FC54D3"/>
    <w:rsid w:val="00FC55AA"/>
    <w:rsid w:val="00FC60BC"/>
    <w:rsid w:val="00FC66FF"/>
    <w:rsid w:val="00FD13F2"/>
    <w:rsid w:val="00FD4CD6"/>
    <w:rsid w:val="00FE6813"/>
    <w:rsid w:val="00FF0287"/>
    <w:rsid w:val="00FF4D51"/>
    <w:rsid w:val="00FF545A"/>
    <w:rsid w:val="02231936"/>
    <w:rsid w:val="0503721D"/>
    <w:rsid w:val="1F272D26"/>
    <w:rsid w:val="22057540"/>
    <w:rsid w:val="28125B1F"/>
    <w:rsid w:val="2CBA411E"/>
    <w:rsid w:val="2ECC7565"/>
    <w:rsid w:val="346031CA"/>
    <w:rsid w:val="355471C9"/>
    <w:rsid w:val="37513FB1"/>
    <w:rsid w:val="3CDF66C8"/>
    <w:rsid w:val="45A73E7C"/>
    <w:rsid w:val="54E83C51"/>
    <w:rsid w:val="57330CB2"/>
    <w:rsid w:val="63F967BA"/>
    <w:rsid w:val="66F55EF8"/>
    <w:rsid w:val="752048F3"/>
    <w:rsid w:val="78F6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8"/>
    <w:semiHidden/>
    <w:unhideWhenUsed/>
    <w:qFormat/>
    <w:uiPriority w:val="99"/>
    <w:rPr>
      <w:rFonts w:ascii="宋体"/>
      <w:sz w:val="18"/>
      <w:szCs w:val="18"/>
    </w:rPr>
  </w:style>
  <w:style w:type="paragraph" w:styleId="5">
    <w:name w:val="Plain Text"/>
    <w:basedOn w:val="1"/>
    <w:link w:val="23"/>
    <w:qFormat/>
    <w:uiPriority w:val="0"/>
    <w:pPr>
      <w:autoSpaceDE w:val="0"/>
      <w:autoSpaceDN w:val="0"/>
    </w:pPr>
    <w:rPr>
      <w:rFonts w:ascii="宋体" w:hAnsi="Times New Roman"/>
      <w:kern w:val="0"/>
      <w:sz w:val="20"/>
      <w:szCs w:val="20"/>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0">
    <w:name w:val="Title"/>
    <w:basedOn w:val="1"/>
    <w:next w:val="1"/>
    <w:link w:val="26"/>
    <w:qFormat/>
    <w:uiPriority w:val="0"/>
    <w:pPr>
      <w:spacing w:before="240" w:after="60"/>
      <w:jc w:val="center"/>
      <w:outlineLvl w:val="0"/>
    </w:pPr>
    <w:rPr>
      <w:rFonts w:ascii="Cambria" w:hAnsi="Cambria"/>
      <w:b/>
      <w:bCs/>
      <w:sz w:val="32"/>
      <w:szCs w:val="32"/>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8"/>
    <w:semiHidden/>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99"/>
    <w:pPr>
      <w:ind w:firstLine="420" w:firstLineChars="200"/>
    </w:pPr>
  </w:style>
  <w:style w:type="character" w:customStyle="1" w:styleId="18">
    <w:name w:val="批注框文本 Char"/>
    <w:basedOn w:val="12"/>
    <w:link w:val="6"/>
    <w:semiHidden/>
    <w:qFormat/>
    <w:uiPriority w:val="99"/>
    <w:rPr>
      <w:rFonts w:ascii="Calibri" w:hAnsi="Calibri" w:eastAsia="宋体" w:cs="Times New Roman"/>
      <w:sz w:val="18"/>
      <w:szCs w:val="18"/>
    </w:rPr>
  </w:style>
  <w:style w:type="character" w:customStyle="1" w:styleId="19">
    <w:name w:val="标题 3 Char"/>
    <w:basedOn w:val="12"/>
    <w:link w:val="3"/>
    <w:qFormat/>
    <w:uiPriority w:val="9"/>
    <w:rPr>
      <w:rFonts w:ascii="宋体" w:hAnsi="宋体" w:eastAsia="宋体" w:cs="宋体"/>
      <w:b/>
      <w:bCs/>
      <w:kern w:val="0"/>
      <w:sz w:val="27"/>
      <w:szCs w:val="27"/>
    </w:rPr>
  </w:style>
  <w:style w:type="character" w:customStyle="1" w:styleId="20">
    <w:name w:val="explain"/>
    <w:basedOn w:val="12"/>
    <w:qFormat/>
    <w:uiPriority w:val="0"/>
  </w:style>
  <w:style w:type="character" w:customStyle="1" w:styleId="21">
    <w:name w:val="apple-converted-space"/>
    <w:basedOn w:val="12"/>
    <w:qFormat/>
    <w:uiPriority w:val="0"/>
  </w:style>
  <w:style w:type="character" w:customStyle="1" w:styleId="22">
    <w:name w:val="纯文本 Char"/>
    <w:link w:val="5"/>
    <w:qFormat/>
    <w:uiPriority w:val="0"/>
    <w:rPr>
      <w:rFonts w:ascii="宋体" w:hAnsi="Times New Roman" w:eastAsia="宋体" w:cs="Times New Roman"/>
      <w:szCs w:val="20"/>
    </w:rPr>
  </w:style>
  <w:style w:type="character" w:customStyle="1" w:styleId="23">
    <w:name w:val="纯文本 Char1"/>
    <w:basedOn w:val="12"/>
    <w:link w:val="5"/>
    <w:semiHidden/>
    <w:qFormat/>
    <w:uiPriority w:val="99"/>
    <w:rPr>
      <w:rFonts w:ascii="宋体" w:hAnsi="Courier New" w:eastAsia="宋体" w:cs="Courier New"/>
      <w:szCs w:val="21"/>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标题 1 Char"/>
    <w:basedOn w:val="12"/>
    <w:link w:val="2"/>
    <w:qFormat/>
    <w:uiPriority w:val="0"/>
    <w:rPr>
      <w:rFonts w:ascii="Times New Roman" w:hAnsi="Times New Roman" w:eastAsia="宋体" w:cs="Times New Roman"/>
      <w:b/>
      <w:bCs/>
      <w:kern w:val="44"/>
      <w:sz w:val="44"/>
      <w:szCs w:val="44"/>
    </w:rPr>
  </w:style>
  <w:style w:type="character" w:customStyle="1" w:styleId="26">
    <w:name w:val="标题 Char"/>
    <w:basedOn w:val="12"/>
    <w:link w:val="10"/>
    <w:qFormat/>
    <w:uiPriority w:val="0"/>
    <w:rPr>
      <w:rFonts w:ascii="Cambria" w:hAnsi="Cambria" w:eastAsia="宋体" w:cs="Times New Roman"/>
      <w:b/>
      <w:bCs/>
      <w:sz w:val="32"/>
      <w:szCs w:val="32"/>
    </w:rPr>
  </w:style>
  <w:style w:type="character" w:customStyle="1" w:styleId="27">
    <w:name w:val="副标题 Char"/>
    <w:basedOn w:val="12"/>
    <w:link w:val="9"/>
    <w:qFormat/>
    <w:uiPriority w:val="0"/>
    <w:rPr>
      <w:rFonts w:ascii="Cambria" w:hAnsi="Cambria" w:eastAsia="宋体" w:cs="Times New Roman"/>
      <w:b/>
      <w:bCs/>
      <w:kern w:val="28"/>
      <w:sz w:val="32"/>
      <w:szCs w:val="32"/>
    </w:rPr>
  </w:style>
  <w:style w:type="character" w:customStyle="1" w:styleId="28">
    <w:name w:val="文档结构图 Char"/>
    <w:basedOn w:val="12"/>
    <w:link w:val="4"/>
    <w:semiHidden/>
    <w:qFormat/>
    <w:uiPriority w:val="99"/>
    <w:rPr>
      <w:rFonts w:ascii="宋体" w:hAnsi="Calibri" w:eastAsia="宋体" w:cs="Times New Roman"/>
      <w:sz w:val="18"/>
      <w:szCs w:val="18"/>
    </w:rPr>
  </w:style>
  <w:style w:type="paragraph" w:customStyle="1" w:styleId="29">
    <w:name w:val="Char Char Char Char Char Char Char"/>
    <w:basedOn w:val="1"/>
    <w:qFormat/>
    <w:uiPriority w:val="0"/>
    <w:pPr>
      <w:adjustRightInd w:val="0"/>
      <w:spacing w:line="360" w:lineRule="auto"/>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62B34-AC8D-4F18-9360-12AD5FEA4C2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578</Words>
  <Characters>3296</Characters>
  <Lines>27</Lines>
  <Paragraphs>7</Paragraphs>
  <TotalTime>31</TotalTime>
  <ScaleCrop>false</ScaleCrop>
  <LinksUpToDate>false</LinksUpToDate>
  <CharactersWithSpaces>3867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2018-02-03T04:22:00Z</dcterms:created>
  <dc:creator>wangwenrui</dc:creator>
  <cp:lastModifiedBy>墨小竹</cp:lastModifiedBy>
  <cp:lastPrinted>2019-03-14T01:44:00Z</cp:lastPrinted>
  <dcterms:modified xsi:type="dcterms:W3CDTF">2019-06-04T01:50:14Z</dcterms:modified>
  <cp:revision>530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