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156" w:after="156" w:line="700" w:lineRule="exact"/>
        <w:outlineLvl w:val="1"/>
        <w:rPr>
          <w:rFonts w:ascii="宋体" w:hAnsi="宋体" w:eastAsia="宋体" w:cs="宋体"/>
          <w:b/>
          <w:bCs/>
          <w:color w:val="FF0000"/>
          <w:spacing w:val="-30"/>
          <w:sz w:val="52"/>
          <w:szCs w:val="52"/>
        </w:rPr>
      </w:pPr>
      <w:r>
        <w:rPr>
          <w:rFonts w:hint="eastAsia" w:ascii="宋体" w:hAnsi="宋体" w:eastAsia="宋体" w:cs="宋体"/>
          <w:b/>
          <w:bCs/>
          <w:color w:val="FF0000"/>
          <w:spacing w:val="-30"/>
          <w:sz w:val="52"/>
          <w:szCs w:val="52"/>
        </w:rPr>
        <w:t>北京市建设工程招标投标和造价管理协会</w:t>
      </w:r>
    </w:p>
    <w:p>
      <w:pPr>
        <w:keepNext/>
        <w:keepLines/>
        <w:spacing w:before="156" w:after="156" w:line="700" w:lineRule="exact"/>
        <w:ind w:firstLine="3234" w:firstLineChars="700"/>
        <w:outlineLvl w:val="1"/>
        <w:rPr>
          <w:rFonts w:ascii="仿宋" w:hAnsi="仿宋" w:eastAsia="仿宋" w:cs="Arial"/>
          <w:sz w:val="28"/>
          <w:szCs w:val="28"/>
        </w:rPr>
      </w:pPr>
      <w:r>
        <w:rPr>
          <w:rFonts w:hint="eastAsia" w:ascii="宋体" w:hAnsi="宋体" w:eastAsia="宋体" w:cs="宋体"/>
          <w:b/>
          <w:bCs/>
          <w:color w:val="FF0000"/>
          <w:spacing w:val="-30"/>
          <w:sz w:val="52"/>
          <w:szCs w:val="52"/>
        </w:rPr>
        <w:t>调解委员会</w:t>
      </w:r>
    </w:p>
    <w:p>
      <w:pPr>
        <w:widowControl/>
        <w:spacing w:line="360" w:lineRule="auto"/>
        <w:ind w:firstLine="420"/>
        <w:jc w:val="left"/>
        <w:rPr>
          <w:rFonts w:ascii="宋体" w:hAnsi="宋体"/>
          <w:b/>
          <w:sz w:val="36"/>
          <w:szCs w:val="36"/>
        </w:rPr>
      </w:pPr>
      <w:bookmarkStart w:id="0" w:name="_Hlk117170658"/>
      <w: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182880</wp:posOffset>
                </wp:positionV>
                <wp:extent cx="6196330" cy="0"/>
                <wp:effectExtent l="0" t="15875" r="13970" b="22225"/>
                <wp:wrapNone/>
                <wp:docPr id="13" name="Line 2"/>
                <wp:cNvGraphicFramePr/>
                <a:graphic xmlns:a="http://schemas.openxmlformats.org/drawingml/2006/main">
                  <a:graphicData uri="http://schemas.microsoft.com/office/word/2010/wordprocessingShape">
                    <wps:wsp>
                      <wps:cNvCnPr>
                        <a:cxnSpLocks noChangeShapeType="1"/>
                      </wps:cNvCnPr>
                      <wps:spPr bwMode="auto">
                        <a:xfrm>
                          <a:off x="0" y="0"/>
                          <a:ext cx="6196330" cy="0"/>
                        </a:xfrm>
                        <a:prstGeom prst="line">
                          <a:avLst/>
                        </a:prstGeom>
                        <a:noFill/>
                        <a:ln w="31750">
                          <a:solidFill>
                            <a:srgbClr val="FF0000"/>
                          </a:solidFill>
                          <a:round/>
                        </a:ln>
                        <a:effectLst/>
                      </wps:spPr>
                      <wps:bodyPr/>
                    </wps:wsp>
                  </a:graphicData>
                </a:graphic>
              </wp:anchor>
            </w:drawing>
          </mc:Choice>
          <mc:Fallback>
            <w:pict>
              <v:line id="Line 2" o:spid="_x0000_s1026" o:spt="20" style="position:absolute;left:0pt;margin-top:14.4pt;height:0pt;width:487.9pt;mso-position-horizontal:center;z-index:251659264;mso-width-relative:page;mso-height-relative:page;" filled="f" stroked="t" coordsize="21600,21600" o:gfxdata="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Hm5efVAAAABgEAAA8AAAAAAAAAAQAgAAAAIgAA&#10;AGRycy9kb3ducmV2LnhtbFBLAQIUABQAAAAIAIdO4kDA78Po0gEAAK8DAAAOAAAAAAAAAAEAIAAA&#10;ACQBAABkcnMvZTJvRG9jLnhtbFBLBQYAAAAABgAGAFkBAABoBQAAAAA=&#10;">
                <v:fill on="f" focussize="0,0"/>
                <v:stroke weight="2.5pt" color="#FF0000" joinstyle="round"/>
                <v:imagedata o:title=""/>
                <o:lock v:ext="edit" aspectratio="f"/>
              </v:line>
            </w:pict>
          </mc:Fallback>
        </mc:AlternateContent>
      </w:r>
    </w:p>
    <w:bookmarkEnd w:id="0"/>
    <w:p>
      <w:pPr>
        <w:jc w:val="center"/>
        <w:rPr>
          <w:rFonts w:ascii="仿宋" w:hAnsi="仿宋" w:eastAsia="仿宋"/>
          <w:b/>
          <w:sz w:val="44"/>
          <w:szCs w:val="44"/>
        </w:rPr>
      </w:pPr>
      <w:r>
        <w:rPr>
          <w:rFonts w:hint="eastAsia" w:ascii="仿宋" w:hAnsi="仿宋" w:eastAsia="仿宋"/>
          <w:b/>
          <w:sz w:val="44"/>
          <w:szCs w:val="44"/>
        </w:rPr>
        <w:t>调解受理通知书</w:t>
      </w:r>
    </w:p>
    <w:p>
      <w:pPr>
        <w:ind w:firstLine="560"/>
        <w:jc w:val="right"/>
        <w:rPr>
          <w:rFonts w:ascii="仿宋" w:hAnsi="仿宋" w:eastAsia="仿宋"/>
          <w:sz w:val="28"/>
          <w:szCs w:val="28"/>
        </w:rPr>
      </w:pPr>
      <w:r>
        <w:rPr>
          <w:rFonts w:hint="eastAsia" w:ascii="仿宋" w:hAnsi="仿宋" w:eastAsia="仿宋" w:cs="Arial"/>
          <w:sz w:val="28"/>
          <w:szCs w:val="28"/>
        </w:rPr>
        <w:t xml:space="preserve"> </w:t>
      </w:r>
      <w:r>
        <w:rPr>
          <w:rFonts w:ascii="仿宋" w:hAnsi="仿宋" w:eastAsia="仿宋" w:cs="Arial"/>
          <w:sz w:val="28"/>
          <w:szCs w:val="28"/>
        </w:rPr>
        <w:t xml:space="preserve">                                 </w:t>
      </w:r>
      <w:r>
        <w:rPr>
          <w:rFonts w:hint="eastAsia" w:ascii="仿宋" w:hAnsi="仿宋" w:eastAsia="仿宋"/>
          <w:sz w:val="28"/>
          <w:szCs w:val="28"/>
        </w:rPr>
        <w:t>(202X)京标价调商XXX号</w:t>
      </w:r>
    </w:p>
    <w:p>
      <w:pPr>
        <w:spacing w:after="156"/>
        <w:rPr>
          <w:rFonts w:ascii="楷体" w:hAnsi="楷体" w:eastAsia="楷体" w:cs="楷体"/>
          <w:sz w:val="32"/>
          <w:szCs w:val="32"/>
        </w:rPr>
      </w:pPr>
      <w:r>
        <w:rPr>
          <w:rFonts w:hint="eastAsia" w:ascii="仿宋" w:hAnsi="仿宋" w:eastAsia="仿宋" w:cs="Arial"/>
          <w:sz w:val="32"/>
          <w:szCs w:val="32"/>
        </w:rPr>
        <w:t xml:space="preserve">申请人： </w:t>
      </w:r>
    </w:p>
    <w:p>
      <w:pPr>
        <w:spacing w:after="156"/>
        <w:rPr>
          <w:rFonts w:ascii="仿宋" w:hAnsi="仿宋" w:eastAsia="仿宋" w:cs="Arial"/>
          <w:sz w:val="32"/>
          <w:szCs w:val="32"/>
        </w:rPr>
      </w:pPr>
      <w:r>
        <w:rPr>
          <w:rFonts w:hint="eastAsia" w:ascii="仿宋" w:hAnsi="仿宋" w:eastAsia="仿宋" w:cs="Arial"/>
          <w:sz w:val="32"/>
          <w:szCs w:val="32"/>
        </w:rPr>
        <w:t>法定代表人：</w:t>
      </w:r>
    </w:p>
    <w:p>
      <w:pPr>
        <w:spacing w:after="156"/>
        <w:rPr>
          <w:rFonts w:ascii="仿宋" w:hAnsi="仿宋" w:eastAsia="仿宋" w:cs="Arial"/>
          <w:sz w:val="32"/>
          <w:szCs w:val="32"/>
        </w:rPr>
      </w:pPr>
      <w:r>
        <w:rPr>
          <w:rFonts w:hint="eastAsia" w:ascii="仿宋" w:hAnsi="仿宋" w:eastAsia="仿宋" w:cs="Arial"/>
          <w:sz w:val="32"/>
          <w:szCs w:val="32"/>
        </w:rPr>
        <w:t xml:space="preserve">被申请人： </w:t>
      </w:r>
    </w:p>
    <w:p>
      <w:pPr>
        <w:spacing w:after="156"/>
        <w:rPr>
          <w:rFonts w:ascii="仿宋" w:hAnsi="仿宋" w:eastAsia="仿宋" w:cs="Arial"/>
          <w:sz w:val="32"/>
          <w:szCs w:val="32"/>
        </w:rPr>
      </w:pPr>
      <w:r>
        <w:rPr>
          <w:rFonts w:hint="eastAsia" w:ascii="仿宋" w:hAnsi="仿宋" w:eastAsia="仿宋" w:cs="Arial"/>
          <w:sz w:val="32"/>
          <w:szCs w:val="32"/>
        </w:rPr>
        <w:t>法定代表人：</w:t>
      </w:r>
    </w:p>
    <w:p>
      <w:pPr>
        <w:spacing w:after="156"/>
        <w:ind w:firstLine="640" w:firstLineChars="200"/>
        <w:rPr>
          <w:rFonts w:ascii="仿宋" w:hAnsi="仿宋" w:eastAsia="仿宋" w:cs="Arial"/>
          <w:sz w:val="32"/>
          <w:szCs w:val="32"/>
        </w:rPr>
      </w:pPr>
      <w:r>
        <w:rPr>
          <w:rFonts w:hint="eastAsia" w:ascii="仿宋" w:hAnsi="仿宋" w:eastAsia="仿宋" w:cs="Arial"/>
          <w:sz w:val="32"/>
          <w:szCs w:val="32"/>
        </w:rPr>
        <w:t>北京市建设工程招标投标和造价管理协会调解委员会</w:t>
      </w:r>
      <w:r>
        <w:rPr>
          <w:rFonts w:hint="eastAsia" w:ascii="仿宋" w:hAnsi="仿宋" w:eastAsia="仿宋" w:cs="Arial"/>
          <w:sz w:val="32"/>
          <w:szCs w:val="32"/>
          <w:lang w:val="en-US" w:eastAsia="zh-CN"/>
        </w:rPr>
        <w:t xml:space="preserve"> </w:t>
      </w:r>
      <w:r>
        <w:rPr>
          <w:rFonts w:hint="eastAsia" w:ascii="仿宋" w:hAnsi="仿宋" w:eastAsia="仿宋" w:cs="Arial"/>
          <w:sz w:val="32"/>
          <w:szCs w:val="32"/>
        </w:rPr>
        <w:t>（简称调解委员会）于202X年XX月XX日受理申请人</w:t>
      </w:r>
      <w:r>
        <w:rPr>
          <w:rFonts w:hint="eastAsia" w:ascii="仿宋" w:hAnsi="仿宋" w:eastAsia="仿宋" w:cs="Arial"/>
          <w:sz w:val="32"/>
          <w:szCs w:val="32"/>
          <w:u w:val="single"/>
        </w:rPr>
        <w:t xml:space="preserve">          </w:t>
      </w:r>
      <w:r>
        <w:rPr>
          <w:rFonts w:hint="eastAsia" w:ascii="仿宋" w:hAnsi="仿宋" w:eastAsia="仿宋" w:cs="Arial"/>
          <w:sz w:val="32"/>
          <w:szCs w:val="32"/>
        </w:rPr>
        <w:t>（简称申请人）的申请，就其与被申请人</w:t>
      </w:r>
      <w:r>
        <w:rPr>
          <w:rFonts w:hint="eastAsia" w:ascii="仿宋" w:hAnsi="仿宋" w:eastAsia="仿宋" w:cs="Arial"/>
          <w:sz w:val="32"/>
          <w:szCs w:val="32"/>
          <w:u w:val="single"/>
        </w:rPr>
        <w:t xml:space="preserve">           </w:t>
      </w:r>
      <w:r>
        <w:rPr>
          <w:rFonts w:hint="eastAsia" w:ascii="仿宋" w:hAnsi="仿宋" w:eastAsia="仿宋" w:cs="Arial"/>
          <w:sz w:val="32"/>
          <w:szCs w:val="32"/>
        </w:rPr>
        <w:t>（简称被申请人）因</w:t>
      </w:r>
      <w:r>
        <w:rPr>
          <w:rFonts w:hint="eastAsia" w:ascii="仿宋" w:hAnsi="仿宋" w:eastAsia="仿宋" w:cs="Arial"/>
          <w:sz w:val="32"/>
          <w:szCs w:val="32"/>
          <w:u w:val="single"/>
        </w:rPr>
        <w:t xml:space="preserve">                </w:t>
      </w:r>
      <w:r>
        <w:rPr>
          <w:rFonts w:hint="eastAsia" w:ascii="仿宋" w:hAnsi="仿宋" w:eastAsia="仿宋" w:cs="Arial"/>
          <w:sz w:val="32"/>
          <w:szCs w:val="32"/>
        </w:rPr>
        <w:t>存在的争议进行调解，争议金额：</w:t>
      </w:r>
      <w:r>
        <w:rPr>
          <w:rFonts w:hint="eastAsia" w:ascii="仿宋" w:hAnsi="仿宋" w:eastAsia="仿宋" w:cs="Arial"/>
          <w:sz w:val="32"/>
          <w:szCs w:val="32"/>
          <w:u w:val="single"/>
        </w:rPr>
        <w:t xml:space="preserve">        </w:t>
      </w:r>
      <w:r>
        <w:rPr>
          <w:rFonts w:hint="eastAsia" w:ascii="仿宋" w:hAnsi="仿宋" w:eastAsia="仿宋" w:cs="Arial"/>
          <w:sz w:val="32"/>
          <w:szCs w:val="32"/>
        </w:rPr>
        <w:t>万元。现依据《最高人民法院关于人民法院进一步深化多元化纠纷解决机制改革的意见》、《北京市建设工程招标投标和造价管理协会调解委员会调解规则》（简称调解委员会调解规则）、《北京市建设工程招标投标和造价管理协会调解委员会调解案件调解费收费办法》（简称收费办法）《北京市建设工程招标投标和造价管理协会委员会调解委员会调解员报酬和专家咨询费管理办法》（简称调解员报酬和专家咨询费管理办法）的相关规定，在征求双方当事人同意的基础上，根据调解委员会调解规则规定启动调解程序。并将调解相关事项通知各方当事人如下：</w:t>
      </w:r>
    </w:p>
    <w:p>
      <w:pPr>
        <w:spacing w:after="156"/>
        <w:ind w:firstLine="640" w:firstLineChars="200"/>
        <w:rPr>
          <w:rFonts w:ascii="仿宋" w:hAnsi="仿宋" w:eastAsia="仿宋" w:cs="Arial"/>
          <w:sz w:val="32"/>
          <w:szCs w:val="32"/>
        </w:rPr>
      </w:pPr>
      <w:r>
        <w:rPr>
          <w:rFonts w:hint="eastAsia" w:ascii="仿宋" w:hAnsi="仿宋" w:eastAsia="仿宋" w:cs="Arial"/>
          <w:sz w:val="32"/>
          <w:szCs w:val="32"/>
        </w:rPr>
        <w:t>一、案件受理</w:t>
      </w:r>
    </w:p>
    <w:p>
      <w:pPr>
        <w:spacing w:after="156"/>
        <w:ind w:firstLine="640" w:firstLineChars="200"/>
        <w:rPr>
          <w:rFonts w:ascii="仿宋" w:hAnsi="仿宋" w:eastAsia="仿宋" w:cs="Arial"/>
          <w:sz w:val="32"/>
          <w:szCs w:val="32"/>
        </w:rPr>
      </w:pPr>
      <w:r>
        <w:rPr>
          <w:rFonts w:hint="eastAsia" w:ascii="仿宋" w:hAnsi="仿宋" w:eastAsia="仿宋" w:cs="Arial"/>
          <w:sz w:val="32"/>
          <w:szCs w:val="32"/>
        </w:rPr>
        <w:t>本案案号为（202X)京标价调商</w:t>
      </w:r>
      <w:r>
        <w:rPr>
          <w:rFonts w:hint="eastAsia" w:ascii="仿宋" w:hAnsi="仿宋" w:eastAsia="仿宋"/>
          <w:sz w:val="32"/>
          <w:szCs w:val="32"/>
        </w:rPr>
        <w:t>XXX</w:t>
      </w:r>
      <w:r>
        <w:rPr>
          <w:rFonts w:hint="eastAsia" w:ascii="仿宋" w:hAnsi="仿宋" w:eastAsia="仿宋" w:cs="Arial"/>
          <w:sz w:val="32"/>
          <w:szCs w:val="32"/>
        </w:rPr>
        <w:t>号。请当事人在向调解委员会提交的文件中注明本案案号。</w:t>
      </w:r>
    </w:p>
    <w:p>
      <w:pPr>
        <w:spacing w:after="156"/>
        <w:ind w:firstLine="640" w:firstLineChars="200"/>
        <w:rPr>
          <w:rFonts w:ascii="仿宋" w:hAnsi="仿宋" w:eastAsia="仿宋" w:cs="Arial"/>
          <w:sz w:val="32"/>
          <w:szCs w:val="32"/>
        </w:rPr>
      </w:pPr>
      <w:r>
        <w:rPr>
          <w:rFonts w:hint="eastAsia" w:ascii="仿宋" w:hAnsi="仿宋" w:eastAsia="仿宋" w:cs="Arial"/>
          <w:sz w:val="32"/>
          <w:szCs w:val="32"/>
        </w:rPr>
        <w:t>二、调解规则的适用</w:t>
      </w:r>
    </w:p>
    <w:p>
      <w:pPr>
        <w:spacing w:after="156"/>
        <w:ind w:firstLine="640" w:firstLineChars="200"/>
        <w:rPr>
          <w:rFonts w:ascii="仿宋" w:hAnsi="仿宋" w:eastAsia="仿宋" w:cs="Arial"/>
          <w:sz w:val="32"/>
          <w:szCs w:val="32"/>
        </w:rPr>
      </w:pPr>
      <w:r>
        <w:rPr>
          <w:rFonts w:hint="eastAsia" w:ascii="仿宋" w:hAnsi="仿宋" w:eastAsia="仿宋" w:cs="Arial"/>
          <w:sz w:val="32"/>
          <w:szCs w:val="32"/>
        </w:rPr>
        <w:t>本案调解适用调解委员会调解规则。</w:t>
      </w:r>
    </w:p>
    <w:p>
      <w:pPr>
        <w:spacing w:after="156"/>
        <w:ind w:firstLine="640" w:firstLineChars="200"/>
        <w:rPr>
          <w:rFonts w:ascii="仿宋" w:hAnsi="仿宋" w:eastAsia="仿宋" w:cs="Arial"/>
          <w:sz w:val="32"/>
          <w:szCs w:val="32"/>
        </w:rPr>
      </w:pPr>
      <w:r>
        <w:rPr>
          <w:rFonts w:hint="eastAsia" w:ascii="仿宋" w:hAnsi="仿宋" w:eastAsia="仿宋" w:cs="Arial"/>
          <w:sz w:val="32"/>
          <w:szCs w:val="32"/>
        </w:rPr>
        <w:t>三、调解员的选定</w:t>
      </w:r>
    </w:p>
    <w:p>
      <w:pPr>
        <w:spacing w:after="156"/>
        <w:ind w:firstLine="640" w:firstLineChars="200"/>
        <w:rPr>
          <w:rFonts w:ascii="仿宋" w:hAnsi="仿宋" w:eastAsia="仿宋" w:cs="Arial"/>
          <w:sz w:val="32"/>
          <w:szCs w:val="32"/>
        </w:rPr>
      </w:pPr>
      <w:r>
        <w:rPr>
          <w:rFonts w:hint="eastAsia" w:ascii="仿宋" w:hAnsi="仿宋" w:eastAsia="仿宋" w:cs="Arial"/>
          <w:sz w:val="32"/>
          <w:szCs w:val="32"/>
        </w:rPr>
        <w:t>1.本案调解选择</w:t>
      </w:r>
      <w:r>
        <w:rPr>
          <w:rFonts w:hint="eastAsia" w:ascii="仿宋" w:hAnsi="仿宋" w:eastAsia="仿宋" w:cs="Arial"/>
          <w:sz w:val="32"/>
          <w:szCs w:val="32"/>
          <w:u w:val="single"/>
        </w:rPr>
        <w:t xml:space="preserve"> </w:t>
      </w:r>
      <w:r>
        <w:rPr>
          <w:rFonts w:ascii="仿宋" w:hAnsi="仿宋" w:eastAsia="仿宋" w:cs="Arial"/>
          <w:sz w:val="32"/>
          <w:szCs w:val="32"/>
          <w:u w:val="single"/>
        </w:rPr>
        <w:t xml:space="preserve"> </w:t>
      </w:r>
      <w:r>
        <w:rPr>
          <w:rFonts w:hint="eastAsia" w:ascii="仿宋" w:hAnsi="仿宋" w:eastAsia="仿宋" w:cs="Arial"/>
          <w:sz w:val="32"/>
          <w:szCs w:val="32"/>
          <w:u w:val="single"/>
        </w:rPr>
        <w:t xml:space="preserve"> </w:t>
      </w:r>
      <w:r>
        <w:rPr>
          <w:rFonts w:hint="eastAsia" w:ascii="仿宋" w:hAnsi="仿宋" w:eastAsia="仿宋" w:cs="Arial"/>
          <w:sz w:val="32"/>
          <w:szCs w:val="32"/>
        </w:rPr>
        <w:t>名调解员进行调解。</w:t>
      </w:r>
    </w:p>
    <w:p>
      <w:pPr>
        <w:spacing w:after="156"/>
        <w:ind w:firstLine="640" w:firstLineChars="200"/>
        <w:rPr>
          <w:rFonts w:ascii="仿宋" w:hAnsi="仿宋" w:eastAsia="仿宋" w:cs="Arial"/>
          <w:sz w:val="32"/>
          <w:szCs w:val="32"/>
          <w:u w:val="single"/>
        </w:rPr>
      </w:pPr>
      <w:r>
        <w:rPr>
          <w:rFonts w:hint="eastAsia" w:ascii="仿宋" w:hAnsi="仿宋" w:eastAsia="仿宋" w:cs="Arial"/>
          <w:sz w:val="32"/>
          <w:szCs w:val="32"/>
        </w:rPr>
        <w:t>2.鉴于本案法律关系性质和特征，并从本案调解所涉及相关法律专业和有利于调解等综合因素考虑，调解委员会特向当事人各方推荐</w:t>
      </w:r>
      <w:r>
        <w:rPr>
          <w:rFonts w:hint="eastAsia" w:ascii="仿宋" w:hAnsi="仿宋" w:eastAsia="仿宋" w:cs="Arial"/>
          <w:sz w:val="32"/>
          <w:szCs w:val="32"/>
          <w:u w:val="single"/>
        </w:rPr>
        <w:t xml:space="preserve">  </w:t>
      </w:r>
      <w:r>
        <w:rPr>
          <w:rFonts w:ascii="仿宋" w:hAnsi="仿宋" w:eastAsia="仿宋" w:cs="Arial"/>
          <w:sz w:val="32"/>
          <w:szCs w:val="32"/>
          <w:u w:val="single"/>
        </w:rPr>
        <w:t xml:space="preserve"> </w:t>
      </w:r>
      <w:r>
        <w:rPr>
          <w:rFonts w:hint="eastAsia" w:ascii="仿宋" w:hAnsi="仿宋" w:eastAsia="仿宋" w:cs="Arial"/>
          <w:sz w:val="32"/>
          <w:szCs w:val="32"/>
          <w:u w:val="single"/>
        </w:rPr>
        <w:t xml:space="preserve">  、     、      </w:t>
      </w:r>
      <w:r>
        <w:rPr>
          <w:rFonts w:hint="eastAsia" w:ascii="仿宋" w:hAnsi="仿宋" w:eastAsia="仿宋" w:cs="Arial"/>
          <w:sz w:val="32"/>
          <w:szCs w:val="32"/>
        </w:rPr>
        <w:t>担任本案调解员，其中</w:t>
      </w:r>
      <w:r>
        <w:rPr>
          <w:rFonts w:hint="eastAsia" w:ascii="仿宋" w:hAnsi="仿宋" w:eastAsia="仿宋" w:cs="Arial"/>
          <w:sz w:val="32"/>
          <w:szCs w:val="32"/>
          <w:u w:val="single"/>
        </w:rPr>
        <w:t xml:space="preserve">      </w:t>
      </w:r>
      <w:r>
        <w:rPr>
          <w:rFonts w:hint="eastAsia" w:ascii="仿宋" w:hAnsi="仿宋" w:eastAsia="仿宋" w:cs="Arial"/>
          <w:sz w:val="32"/>
          <w:szCs w:val="32"/>
        </w:rPr>
        <w:t>担任本案首席调解员。</w:t>
      </w:r>
    </w:p>
    <w:p>
      <w:pPr>
        <w:spacing w:after="156"/>
        <w:ind w:firstLine="640" w:firstLineChars="200"/>
        <w:rPr>
          <w:rFonts w:ascii="仿宋" w:hAnsi="仿宋" w:eastAsia="仿宋" w:cs="Arial"/>
          <w:sz w:val="32"/>
          <w:szCs w:val="32"/>
        </w:rPr>
      </w:pPr>
      <w:r>
        <w:rPr>
          <w:rFonts w:hint="eastAsia" w:ascii="仿宋" w:hAnsi="仿宋" w:eastAsia="仿宋" w:cs="Arial"/>
          <w:sz w:val="32"/>
          <w:szCs w:val="32"/>
        </w:rPr>
        <w:t>3.各方当事人应自收到本通知书等有关文件后3个工作日内向调解委员会提交经当事人分别签署的《调解员选定确认书》，也可电话、短信先予确认，开庭时补签。</w:t>
      </w:r>
    </w:p>
    <w:p>
      <w:pPr>
        <w:spacing w:after="156"/>
        <w:ind w:firstLine="640" w:firstLineChars="200"/>
        <w:rPr>
          <w:rFonts w:ascii="仿宋" w:hAnsi="仿宋" w:eastAsia="仿宋" w:cs="Arial"/>
          <w:sz w:val="32"/>
          <w:szCs w:val="32"/>
        </w:rPr>
      </w:pPr>
      <w:r>
        <w:rPr>
          <w:rFonts w:ascii="仿宋" w:hAnsi="仿宋" w:eastAsia="仿宋" w:cs="Arial"/>
          <w:sz w:val="32"/>
          <w:szCs w:val="32"/>
        </w:rPr>
        <w:t>4.</w:t>
      </w:r>
      <w:r>
        <w:rPr>
          <w:rFonts w:hint="eastAsia" w:ascii="仿宋" w:hAnsi="仿宋" w:eastAsia="仿宋" w:cs="Arial"/>
          <w:sz w:val="32"/>
          <w:szCs w:val="32"/>
        </w:rPr>
        <w:t>如本案任何一方当事人不接受调解委员会推荐的调解员</w:t>
      </w:r>
      <w:r>
        <w:rPr>
          <w:rFonts w:hint="eastAsia" w:ascii="仿宋" w:hAnsi="仿宋" w:eastAsia="仿宋" w:cs="Arial"/>
          <w:sz w:val="32"/>
          <w:szCs w:val="32"/>
          <w:u w:val="single"/>
        </w:rPr>
        <w:t xml:space="preserve"> </w:t>
      </w:r>
      <w:r>
        <w:rPr>
          <w:rFonts w:ascii="仿宋" w:hAnsi="仿宋" w:eastAsia="仿宋" w:cs="Arial"/>
          <w:sz w:val="32"/>
          <w:szCs w:val="32"/>
          <w:u w:val="single"/>
        </w:rPr>
        <w:t xml:space="preserve">    </w:t>
      </w:r>
      <w:r>
        <w:rPr>
          <w:rFonts w:hint="eastAsia" w:ascii="仿宋" w:hAnsi="仿宋" w:eastAsia="仿宋" w:cs="Arial"/>
          <w:sz w:val="32"/>
          <w:szCs w:val="32"/>
          <w:u w:val="single"/>
        </w:rPr>
        <w:t xml:space="preserve"> </w:t>
      </w:r>
      <w:r>
        <w:rPr>
          <w:rFonts w:ascii="仿宋" w:hAnsi="仿宋" w:eastAsia="仿宋" w:cs="Arial"/>
          <w:sz w:val="32"/>
          <w:szCs w:val="32"/>
          <w:u w:val="single"/>
        </w:rPr>
        <w:t xml:space="preserve"> </w:t>
      </w:r>
      <w:r>
        <w:rPr>
          <w:rFonts w:hint="eastAsia" w:ascii="仿宋" w:hAnsi="仿宋" w:eastAsia="仿宋" w:cs="Arial"/>
          <w:sz w:val="32"/>
          <w:szCs w:val="32"/>
          <w:u w:val="single"/>
        </w:rPr>
        <w:t xml:space="preserve">  </w:t>
      </w:r>
      <w:r>
        <w:rPr>
          <w:rFonts w:hint="eastAsia" w:ascii="仿宋" w:hAnsi="仿宋" w:eastAsia="仿宋" w:cs="Arial"/>
          <w:sz w:val="32"/>
          <w:szCs w:val="32"/>
        </w:rPr>
        <w:t>，调解委员会可为其再次推荐或按照调解委员会调解规则相关规定确定调解员。</w:t>
      </w:r>
    </w:p>
    <w:p>
      <w:pPr>
        <w:spacing w:after="156"/>
        <w:ind w:firstLine="640" w:firstLineChars="200"/>
        <w:rPr>
          <w:rFonts w:ascii="仿宋" w:hAnsi="仿宋" w:eastAsia="仿宋" w:cs="Arial"/>
          <w:sz w:val="32"/>
          <w:szCs w:val="32"/>
        </w:rPr>
      </w:pPr>
      <w:r>
        <w:rPr>
          <w:rFonts w:hint="eastAsia" w:ascii="仿宋" w:hAnsi="仿宋" w:eastAsia="仿宋" w:cs="Arial"/>
          <w:sz w:val="32"/>
          <w:szCs w:val="32"/>
        </w:rPr>
        <w:t>四、身份证明及授权委托书</w:t>
      </w:r>
    </w:p>
    <w:p>
      <w:pPr>
        <w:spacing w:after="156"/>
        <w:ind w:firstLine="640" w:firstLineChars="200"/>
        <w:rPr>
          <w:rFonts w:ascii="仿宋" w:hAnsi="仿宋" w:eastAsia="仿宋" w:cs="Arial"/>
          <w:sz w:val="32"/>
          <w:szCs w:val="32"/>
        </w:rPr>
      </w:pPr>
      <w:r>
        <w:rPr>
          <w:rFonts w:hint="eastAsia" w:ascii="仿宋" w:hAnsi="仿宋" w:eastAsia="仿宋" w:cs="Arial"/>
          <w:sz w:val="32"/>
          <w:szCs w:val="32"/>
        </w:rPr>
        <w:t>遵照调解的保密原则，并根据调解委员会调解规则规定，本案纠纷调解全过程均采取不公开方式进行。为保证调解工作顺利进行，调解委员会特向当事人及当事人的代理人提出如下要求：</w:t>
      </w:r>
    </w:p>
    <w:p>
      <w:pPr>
        <w:spacing w:after="156"/>
        <w:ind w:firstLine="640" w:firstLineChars="200"/>
        <w:rPr>
          <w:rFonts w:ascii="仿宋" w:hAnsi="仿宋" w:eastAsia="仿宋" w:cs="Arial"/>
          <w:sz w:val="32"/>
          <w:szCs w:val="32"/>
        </w:rPr>
      </w:pPr>
      <w:r>
        <w:rPr>
          <w:rFonts w:hint="eastAsia" w:ascii="仿宋" w:hAnsi="仿宋" w:eastAsia="仿宋" w:cs="Arial"/>
          <w:sz w:val="32"/>
          <w:szCs w:val="32"/>
        </w:rPr>
        <w:t>1.当事人参与本案调解活动，企业或单位须提交营业执照副本复印件一份、法定代表人身份证明原件一份、法定代表人提交个人有效身份证（正、反两面）复印件一份；公民须提交个人身份证(正、反面)复印件一份，上述材料于第一次调解庭前提交。</w:t>
      </w:r>
    </w:p>
    <w:p>
      <w:pPr>
        <w:spacing w:after="156"/>
        <w:ind w:firstLine="640" w:firstLineChars="200"/>
        <w:rPr>
          <w:rFonts w:ascii="仿宋" w:hAnsi="仿宋" w:eastAsia="仿宋" w:cs="Arial"/>
          <w:sz w:val="32"/>
          <w:szCs w:val="32"/>
        </w:rPr>
      </w:pPr>
      <w:r>
        <w:rPr>
          <w:rFonts w:hint="eastAsia" w:ascii="仿宋" w:hAnsi="仿宋" w:eastAsia="仿宋" w:cs="Arial"/>
          <w:sz w:val="32"/>
          <w:szCs w:val="32"/>
        </w:rPr>
        <w:t>2.当事人的代理人参与本案调解活动，须向调解委员会提交当事人授权委托书原件一份，公民代理须提交有效身份证明（正、反面）复印件一份，律师代理须提交律师事务所函，于第一次调解庭前提交。</w:t>
      </w:r>
    </w:p>
    <w:p>
      <w:pPr>
        <w:spacing w:after="156"/>
        <w:ind w:firstLine="640" w:firstLineChars="200"/>
        <w:rPr>
          <w:rFonts w:ascii="仿宋" w:hAnsi="仿宋" w:eastAsia="仿宋" w:cs="Arial"/>
          <w:sz w:val="32"/>
          <w:szCs w:val="32"/>
        </w:rPr>
      </w:pPr>
      <w:r>
        <w:rPr>
          <w:rFonts w:hint="eastAsia" w:ascii="仿宋" w:hAnsi="仿宋" w:eastAsia="仿宋" w:cs="Arial"/>
          <w:sz w:val="32"/>
          <w:szCs w:val="32"/>
        </w:rPr>
        <w:t>3.证据材料一式3份。</w:t>
      </w:r>
    </w:p>
    <w:p>
      <w:pPr>
        <w:spacing w:after="156"/>
        <w:rPr>
          <w:rFonts w:ascii="仿宋" w:hAnsi="仿宋" w:eastAsia="仿宋" w:cs="Arial"/>
          <w:sz w:val="32"/>
          <w:szCs w:val="32"/>
        </w:rPr>
      </w:pPr>
      <w:r>
        <w:rPr>
          <w:rFonts w:hint="eastAsia" w:ascii="仿宋" w:hAnsi="仿宋" w:eastAsia="仿宋" w:cs="Arial"/>
          <w:sz w:val="32"/>
          <w:szCs w:val="32"/>
        </w:rPr>
        <w:t>五、本案经办秘书</w:t>
      </w:r>
    </w:p>
    <w:p>
      <w:pPr>
        <w:spacing w:after="156"/>
        <w:ind w:firstLine="640" w:firstLineChars="200"/>
        <w:rPr>
          <w:rFonts w:ascii="仿宋" w:hAnsi="仿宋" w:eastAsia="仿宋" w:cs="Arial"/>
          <w:sz w:val="32"/>
          <w:szCs w:val="32"/>
        </w:rPr>
      </w:pPr>
      <w:r>
        <w:rPr>
          <w:rFonts w:hint="eastAsia" w:ascii="仿宋" w:hAnsi="仿宋" w:eastAsia="仿宋" w:cs="Arial"/>
          <w:sz w:val="32"/>
          <w:szCs w:val="32"/>
        </w:rPr>
        <w:t>调解委员会已指定</w:t>
      </w:r>
      <w:r>
        <w:rPr>
          <w:rFonts w:ascii="仿宋" w:hAnsi="仿宋" w:eastAsia="仿宋" w:cs="Arial"/>
          <w:sz w:val="32"/>
          <w:szCs w:val="32"/>
          <w:u w:val="single"/>
        </w:rPr>
        <w:t xml:space="preserve">      </w:t>
      </w:r>
      <w:r>
        <w:rPr>
          <w:rFonts w:hint="eastAsia" w:ascii="仿宋" w:hAnsi="仿宋" w:eastAsia="仿宋" w:cs="Arial"/>
          <w:sz w:val="32"/>
          <w:szCs w:val="32"/>
        </w:rPr>
        <w:t>女士/先生协助本案的程序管理工作，其联系电话为</w:t>
      </w:r>
      <w:r>
        <w:rPr>
          <w:rFonts w:hint="eastAsia" w:ascii="仿宋" w:hAnsi="仿宋" w:eastAsia="仿宋" w:cs="Arial"/>
          <w:sz w:val="32"/>
          <w:szCs w:val="32"/>
          <w:u w:val="single"/>
        </w:rPr>
        <w:t xml:space="preserve">：           </w:t>
      </w:r>
      <w:r>
        <w:rPr>
          <w:rFonts w:hint="eastAsia" w:ascii="仿宋" w:hAnsi="仿宋" w:eastAsia="仿宋" w:cs="Arial"/>
          <w:sz w:val="32"/>
          <w:szCs w:val="32"/>
        </w:rPr>
        <w:t xml:space="preserve">。  </w:t>
      </w:r>
    </w:p>
    <w:p>
      <w:pPr>
        <w:spacing w:after="156"/>
        <w:rPr>
          <w:rFonts w:ascii="仿宋" w:hAnsi="仿宋" w:eastAsia="仿宋" w:cs="Arial"/>
          <w:sz w:val="32"/>
          <w:szCs w:val="32"/>
        </w:rPr>
      </w:pPr>
      <w:r>
        <w:rPr>
          <w:rFonts w:hint="eastAsia" w:ascii="仿宋" w:hAnsi="仿宋" w:eastAsia="仿宋" w:cs="Arial"/>
          <w:sz w:val="32"/>
          <w:szCs w:val="32"/>
        </w:rPr>
        <w:t>六、调解费用收取</w:t>
      </w:r>
    </w:p>
    <w:p>
      <w:pPr>
        <w:spacing w:after="156"/>
        <w:ind w:firstLine="640" w:firstLineChars="200"/>
        <w:rPr>
          <w:rFonts w:ascii="仿宋" w:hAnsi="仿宋" w:eastAsia="仿宋" w:cs="Arial"/>
          <w:sz w:val="32"/>
          <w:szCs w:val="32"/>
        </w:rPr>
      </w:pPr>
      <w:r>
        <w:rPr>
          <w:rFonts w:hint="eastAsia" w:ascii="仿宋" w:hAnsi="仿宋" w:eastAsia="仿宋" w:cs="Arial"/>
          <w:sz w:val="32"/>
          <w:szCs w:val="32"/>
        </w:rPr>
        <w:t>1.收费金额</w:t>
      </w:r>
    </w:p>
    <w:p>
      <w:pPr>
        <w:spacing w:after="156"/>
        <w:ind w:firstLine="476" w:firstLineChars="149"/>
        <w:rPr>
          <w:rFonts w:ascii="仿宋" w:hAnsi="仿宋" w:eastAsia="仿宋" w:cs="Arial"/>
          <w:sz w:val="32"/>
          <w:szCs w:val="32"/>
        </w:rPr>
      </w:pPr>
      <w:r>
        <w:rPr>
          <w:rFonts w:hint="eastAsia" w:ascii="仿宋" w:hAnsi="仿宋" w:eastAsia="仿宋" w:cs="Arial"/>
          <w:sz w:val="32"/>
          <w:szCs w:val="32"/>
        </w:rPr>
        <w:t>依据收费办法并经调解委员会研究决定，本次调解预收受理费</w:t>
      </w:r>
      <w:r>
        <w:rPr>
          <w:rFonts w:hint="eastAsia" w:ascii="仿宋" w:hAnsi="仿宋" w:eastAsia="仿宋" w:cs="Arial"/>
          <w:sz w:val="32"/>
          <w:szCs w:val="32"/>
          <w:u w:val="single"/>
        </w:rPr>
        <w:t xml:space="preserve"> </w:t>
      </w:r>
      <w:r>
        <w:rPr>
          <w:rFonts w:ascii="仿宋" w:hAnsi="仿宋" w:eastAsia="仿宋" w:cs="Arial"/>
          <w:sz w:val="32"/>
          <w:szCs w:val="32"/>
          <w:u w:val="single"/>
        </w:rPr>
        <w:t xml:space="preserve">    </w:t>
      </w:r>
      <w:r>
        <w:rPr>
          <w:rFonts w:hint="eastAsia" w:ascii="仿宋" w:hAnsi="仿宋" w:eastAsia="仿宋" w:cs="Arial"/>
          <w:sz w:val="32"/>
          <w:szCs w:val="32"/>
          <w:u w:val="single"/>
        </w:rPr>
        <w:t xml:space="preserve"> </w:t>
      </w:r>
      <w:r>
        <w:rPr>
          <w:rFonts w:ascii="仿宋" w:hAnsi="仿宋" w:eastAsia="仿宋" w:cs="Arial"/>
          <w:sz w:val="32"/>
          <w:szCs w:val="32"/>
          <w:u w:val="single"/>
        </w:rPr>
        <w:t xml:space="preserve">          </w:t>
      </w:r>
      <w:r>
        <w:rPr>
          <w:rFonts w:hint="eastAsia" w:ascii="仿宋" w:hAnsi="仿宋" w:eastAsia="仿宋" w:cs="Arial"/>
          <w:sz w:val="32"/>
          <w:szCs w:val="32"/>
        </w:rPr>
        <w:t>元（大写金额：</w:t>
      </w:r>
      <w:r>
        <w:rPr>
          <w:rFonts w:hint="eastAsia" w:ascii="仿宋" w:hAnsi="仿宋" w:eastAsia="仿宋" w:cs="Arial"/>
          <w:sz w:val="32"/>
          <w:szCs w:val="32"/>
          <w:u w:val="single"/>
        </w:rPr>
        <w:t xml:space="preserve"> </w:t>
      </w:r>
      <w:r>
        <w:rPr>
          <w:rFonts w:ascii="仿宋" w:hAnsi="仿宋" w:eastAsia="仿宋" w:cs="Arial"/>
          <w:sz w:val="32"/>
          <w:szCs w:val="32"/>
          <w:u w:val="single"/>
        </w:rPr>
        <w:t xml:space="preserve">     </w:t>
      </w:r>
      <w:r>
        <w:rPr>
          <w:rFonts w:hint="eastAsia" w:ascii="仿宋" w:hAnsi="仿宋" w:eastAsia="仿宋" w:cs="Arial"/>
          <w:sz w:val="32"/>
          <w:szCs w:val="32"/>
          <w:u w:val="single"/>
        </w:rPr>
        <w:t xml:space="preserve">       </w:t>
      </w:r>
      <w:r>
        <w:rPr>
          <w:rFonts w:hint="eastAsia" w:ascii="仿宋" w:hAnsi="仿宋" w:eastAsia="仿宋" w:cs="Arial"/>
          <w:sz w:val="32"/>
          <w:szCs w:val="32"/>
        </w:rPr>
        <w:t xml:space="preserve">）。预收案件处理费 </w:t>
      </w:r>
      <w:r>
        <w:rPr>
          <w:rFonts w:hint="eastAsia" w:ascii="仿宋" w:hAnsi="仿宋" w:eastAsia="仿宋" w:cs="Arial"/>
          <w:sz w:val="32"/>
          <w:szCs w:val="32"/>
          <w:u w:val="single"/>
        </w:rPr>
        <w:t xml:space="preserve">  </w:t>
      </w:r>
      <w:r>
        <w:rPr>
          <w:rFonts w:ascii="仿宋" w:hAnsi="仿宋" w:eastAsia="仿宋" w:cs="Arial"/>
          <w:sz w:val="32"/>
          <w:szCs w:val="32"/>
          <w:u w:val="single"/>
        </w:rPr>
        <w:t xml:space="preserve">     </w:t>
      </w:r>
      <w:r>
        <w:rPr>
          <w:rFonts w:hint="eastAsia" w:ascii="仿宋" w:hAnsi="仿宋" w:eastAsia="仿宋" w:cs="Arial"/>
          <w:sz w:val="32"/>
          <w:szCs w:val="32"/>
          <w:u w:val="single"/>
        </w:rPr>
        <w:t xml:space="preserve">    </w:t>
      </w:r>
      <w:r>
        <w:rPr>
          <w:rFonts w:hint="eastAsia" w:ascii="仿宋" w:hAnsi="仿宋" w:eastAsia="仿宋" w:cs="Arial"/>
          <w:sz w:val="32"/>
          <w:szCs w:val="32"/>
        </w:rPr>
        <w:t>元（大写金额：</w:t>
      </w:r>
      <w:r>
        <w:rPr>
          <w:rFonts w:hint="eastAsia" w:ascii="仿宋" w:hAnsi="仿宋" w:eastAsia="仿宋" w:cs="Arial"/>
          <w:sz w:val="32"/>
          <w:szCs w:val="32"/>
          <w:u w:val="single"/>
        </w:rPr>
        <w:t xml:space="preserve">       </w:t>
      </w:r>
      <w:r>
        <w:rPr>
          <w:rFonts w:hint="eastAsia" w:ascii="仿宋" w:hAnsi="仿宋" w:eastAsia="仿宋" w:cs="Arial"/>
          <w:sz w:val="32"/>
          <w:szCs w:val="32"/>
        </w:rPr>
        <w:t>），总计金额</w:t>
      </w:r>
      <w:r>
        <w:rPr>
          <w:rFonts w:hint="eastAsia" w:ascii="仿宋" w:hAnsi="仿宋" w:eastAsia="仿宋" w:cs="Arial"/>
          <w:sz w:val="32"/>
          <w:szCs w:val="32"/>
          <w:u w:val="single"/>
        </w:rPr>
        <w:t xml:space="preserve">       </w:t>
      </w:r>
      <w:r>
        <w:rPr>
          <w:rFonts w:hint="eastAsia" w:ascii="仿宋" w:hAnsi="仿宋" w:eastAsia="仿宋" w:cs="Arial"/>
          <w:sz w:val="32"/>
          <w:szCs w:val="32"/>
        </w:rPr>
        <w:t>元（大写金额：</w:t>
      </w:r>
      <w:r>
        <w:rPr>
          <w:rFonts w:ascii="仿宋" w:hAnsi="仿宋" w:eastAsia="仿宋" w:cs="Arial"/>
          <w:sz w:val="32"/>
          <w:szCs w:val="32"/>
          <w:u w:val="single"/>
        </w:rPr>
        <w:t xml:space="preserve">         </w:t>
      </w:r>
      <w:r>
        <w:rPr>
          <w:rFonts w:hint="eastAsia" w:ascii="仿宋" w:hAnsi="仿宋" w:eastAsia="仿宋" w:cs="Arial"/>
          <w:sz w:val="32"/>
          <w:szCs w:val="32"/>
        </w:rPr>
        <w:t>）。</w:t>
      </w:r>
    </w:p>
    <w:p>
      <w:pPr>
        <w:spacing w:after="156"/>
        <w:ind w:firstLine="640" w:firstLineChars="200"/>
        <w:rPr>
          <w:rFonts w:ascii="仿宋" w:hAnsi="仿宋" w:eastAsia="仿宋" w:cs="Arial"/>
          <w:sz w:val="32"/>
          <w:szCs w:val="32"/>
        </w:rPr>
      </w:pPr>
      <w:r>
        <w:rPr>
          <w:rFonts w:hint="eastAsia" w:ascii="仿宋" w:hAnsi="仿宋" w:eastAsia="仿宋" w:cs="Arial"/>
          <w:sz w:val="32"/>
          <w:szCs w:val="32"/>
        </w:rPr>
        <w:t>2.收费方式</w:t>
      </w:r>
    </w:p>
    <w:p>
      <w:pPr>
        <w:spacing w:after="156"/>
        <w:ind w:firstLine="640" w:firstLineChars="200"/>
        <w:rPr>
          <w:rFonts w:ascii="仿宋" w:hAnsi="仿宋" w:eastAsia="仿宋" w:cs="Arial"/>
          <w:sz w:val="32"/>
          <w:szCs w:val="32"/>
        </w:rPr>
      </w:pPr>
      <w:r>
        <w:rPr>
          <w:rFonts w:hint="eastAsia" w:ascii="仿宋" w:hAnsi="仿宋" w:eastAsia="仿宋" w:cs="Arial"/>
          <w:sz w:val="32"/>
          <w:szCs w:val="32"/>
        </w:rPr>
        <w:t>当事人收到《调解受理通知书》的5个工作日内，按照收费办法规定将案件调解费以电子汇款的方式汇入如下账户：</w:t>
      </w:r>
    </w:p>
    <w:p>
      <w:pPr>
        <w:spacing w:after="156"/>
        <w:ind w:firstLine="640" w:firstLineChars="200"/>
        <w:rPr>
          <w:rFonts w:ascii="仿宋" w:hAnsi="仿宋" w:eastAsia="仿宋" w:cs="Arial"/>
          <w:sz w:val="32"/>
          <w:szCs w:val="32"/>
        </w:rPr>
      </w:pPr>
      <w:r>
        <w:rPr>
          <w:rFonts w:hint="eastAsia" w:ascii="仿宋" w:hAnsi="仿宋" w:eastAsia="仿宋" w:cs="Arial"/>
          <w:sz w:val="32"/>
          <w:szCs w:val="32"/>
        </w:rPr>
        <w:t>单位名称：北京市建设工程招标投标和造价管理协会</w:t>
      </w:r>
    </w:p>
    <w:p>
      <w:pPr>
        <w:spacing w:after="156"/>
        <w:ind w:firstLine="640" w:firstLineChars="200"/>
        <w:rPr>
          <w:rFonts w:ascii="仿宋" w:hAnsi="仿宋" w:eastAsia="仿宋" w:cs="Arial"/>
          <w:sz w:val="32"/>
          <w:szCs w:val="32"/>
        </w:rPr>
      </w:pPr>
      <w:r>
        <w:rPr>
          <w:rFonts w:hint="eastAsia" w:ascii="仿宋" w:hAnsi="仿宋" w:eastAsia="仿宋" w:cs="Arial"/>
          <w:sz w:val="32"/>
          <w:szCs w:val="32"/>
        </w:rPr>
        <w:t>开户行及账号：中国建设银行北京光明支行11001071200056003145</w:t>
      </w:r>
    </w:p>
    <w:p>
      <w:pPr>
        <w:spacing w:after="156"/>
        <w:ind w:firstLine="640" w:firstLineChars="200"/>
        <w:rPr>
          <w:rFonts w:ascii="仿宋" w:hAnsi="仿宋" w:eastAsia="仿宋" w:cs="Arial"/>
          <w:strike w:val="0"/>
          <w:color w:val="auto"/>
          <w:sz w:val="32"/>
          <w:szCs w:val="32"/>
        </w:rPr>
      </w:pPr>
      <w:r>
        <w:rPr>
          <w:rFonts w:hint="eastAsia" w:ascii="仿宋" w:hAnsi="仿宋" w:eastAsia="仿宋" w:cs="Arial"/>
          <w:sz w:val="32"/>
          <w:szCs w:val="32"/>
        </w:rPr>
        <w:t>调解委员会收到款后，向当事人开具收据。收据请认真保存，待调解工作结束后调解委员会收回收据</w:t>
      </w:r>
      <w:r>
        <w:rPr>
          <w:rFonts w:hint="eastAsia" w:ascii="仿宋" w:hAnsi="仿宋" w:eastAsia="仿宋" w:cs="Arial"/>
          <w:strike w:val="0"/>
          <w:dstrike w:val="0"/>
          <w:color w:val="auto"/>
          <w:sz w:val="32"/>
          <w:szCs w:val="32"/>
          <w:lang w:val="en-US" w:eastAsia="zh-CN"/>
        </w:rPr>
        <w:t>并进行如下处理：</w:t>
      </w:r>
    </w:p>
    <w:p>
      <w:pPr>
        <w:spacing w:after="156"/>
        <w:ind w:firstLine="640" w:firstLineChars="200"/>
        <w:rPr>
          <w:rFonts w:ascii="仿宋" w:hAnsi="仿宋" w:eastAsia="仿宋" w:cs="Arial"/>
          <w:color w:val="auto"/>
          <w:sz w:val="32"/>
          <w:szCs w:val="32"/>
        </w:rPr>
      </w:pPr>
      <w:r>
        <w:rPr>
          <w:rFonts w:hint="eastAsia" w:ascii="仿宋" w:hAnsi="仿宋" w:eastAsia="仿宋" w:cs="Arial"/>
          <w:color w:val="auto"/>
          <w:sz w:val="32"/>
          <w:szCs w:val="32"/>
        </w:rPr>
        <w:t>（1）调解成功后，由调解委员会向当事人开具相应金额发票。</w:t>
      </w:r>
    </w:p>
    <w:p>
      <w:pPr>
        <w:spacing w:after="156"/>
        <w:ind w:firstLine="640" w:firstLineChars="200"/>
        <w:rPr>
          <w:rFonts w:hint="default" w:ascii="仿宋" w:hAnsi="仿宋" w:eastAsia="仿宋" w:cs="Arial"/>
          <w:color w:val="auto"/>
          <w:sz w:val="32"/>
          <w:szCs w:val="32"/>
          <w:lang w:val="en-US" w:eastAsia="zh-CN"/>
        </w:rPr>
      </w:pPr>
      <w:r>
        <w:rPr>
          <w:rFonts w:hint="eastAsia" w:ascii="仿宋" w:hAnsi="仿宋" w:eastAsia="仿宋" w:cs="Arial"/>
          <w:color w:val="auto"/>
          <w:sz w:val="32"/>
          <w:szCs w:val="32"/>
        </w:rPr>
        <w:t>（2）调解不成功，调解委员会根据收费办法及调解员报酬和专家咨询费管理办法等扣除应支付的调解员报酬和专家咨询费用及一定的调解委员会运行费用后退回剩余案件调解费用</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lang w:val="en-US" w:eastAsia="zh-CN"/>
        </w:rPr>
        <w:t>扣除部分开具相应金额发票。</w:t>
      </w:r>
    </w:p>
    <w:p>
      <w:pPr>
        <w:spacing w:after="156"/>
        <w:ind w:firstLine="640" w:firstLineChars="200"/>
        <w:rPr>
          <w:rFonts w:ascii="仿宋" w:hAnsi="仿宋" w:eastAsia="仿宋" w:cs="Arial"/>
          <w:sz w:val="32"/>
          <w:szCs w:val="32"/>
        </w:rPr>
      </w:pPr>
      <w:r>
        <w:rPr>
          <w:rFonts w:hint="eastAsia" w:ascii="仿宋" w:hAnsi="仿宋" w:eastAsia="仿宋" w:cs="Arial"/>
          <w:sz w:val="32"/>
          <w:szCs w:val="32"/>
        </w:rPr>
        <w:t>七、其他事项</w:t>
      </w:r>
    </w:p>
    <w:p>
      <w:pPr>
        <w:spacing w:after="156"/>
        <w:ind w:firstLine="640" w:firstLineChars="200"/>
        <w:rPr>
          <w:rFonts w:ascii="仿宋" w:hAnsi="仿宋" w:eastAsia="仿宋" w:cs="Arial"/>
          <w:sz w:val="32"/>
          <w:szCs w:val="32"/>
        </w:rPr>
      </w:pPr>
      <w:r>
        <w:rPr>
          <w:rFonts w:hint="eastAsia" w:ascii="仿宋" w:hAnsi="仿宋" w:eastAsia="仿宋" w:cs="Arial"/>
          <w:sz w:val="32"/>
          <w:szCs w:val="32"/>
        </w:rPr>
        <w:t>1.根据调解委员会调解规则规定，不公开审理的案件，当事人及其代理人、证人、翻译等均不得对外界透露本案实体和程序的有关情况。</w:t>
      </w:r>
    </w:p>
    <w:p>
      <w:pPr>
        <w:keepNext w:val="0"/>
        <w:keepLines w:val="0"/>
        <w:pageBreakBefore w:val="0"/>
        <w:widowControl w:val="0"/>
        <w:kinsoku/>
        <w:wordWrap/>
        <w:overflowPunct/>
        <w:topLinePunct w:val="0"/>
        <w:autoSpaceDE/>
        <w:autoSpaceDN/>
        <w:bidi w:val="0"/>
        <w:adjustRightInd/>
        <w:snapToGrid/>
        <w:spacing w:after="156"/>
        <w:ind w:firstLine="640" w:firstLineChars="200"/>
        <w:textAlignment w:val="auto"/>
        <w:rPr>
          <w:rFonts w:ascii="仿宋" w:hAnsi="仿宋" w:eastAsia="仿宋" w:cs="Arial"/>
          <w:sz w:val="32"/>
          <w:szCs w:val="32"/>
        </w:rPr>
      </w:pPr>
      <w:r>
        <w:rPr>
          <w:rFonts w:hint="eastAsia" w:ascii="仿宋" w:hAnsi="仿宋" w:eastAsia="仿宋" w:cs="Arial"/>
          <w:sz w:val="32"/>
          <w:szCs w:val="32"/>
        </w:rPr>
        <w:t>2.一方当事人恶意调解造成对方当事人调解费用支出的，对方当事人可以在诉讼中主张过错方承担相应民事责任。</w:t>
      </w:r>
    </w:p>
    <w:p>
      <w:pPr>
        <w:keepNext w:val="0"/>
        <w:keepLines w:val="0"/>
        <w:pageBreakBefore w:val="0"/>
        <w:widowControl w:val="0"/>
        <w:kinsoku/>
        <w:wordWrap/>
        <w:overflowPunct/>
        <w:topLinePunct w:val="0"/>
        <w:autoSpaceDE/>
        <w:autoSpaceDN/>
        <w:bidi w:val="0"/>
        <w:adjustRightInd/>
        <w:snapToGrid/>
        <w:spacing w:after="156"/>
        <w:ind w:firstLine="640" w:firstLineChars="200"/>
        <w:textAlignment w:val="auto"/>
        <w:rPr>
          <w:rFonts w:ascii="仿宋" w:hAnsi="仿宋" w:eastAsia="仿宋" w:cs="Arial"/>
          <w:sz w:val="32"/>
          <w:szCs w:val="32"/>
        </w:rPr>
      </w:pPr>
      <w:r>
        <w:rPr>
          <w:rFonts w:hint="eastAsia" w:ascii="仿宋" w:hAnsi="仿宋" w:eastAsia="仿宋" w:cs="Arial"/>
          <w:sz w:val="32"/>
          <w:szCs w:val="32"/>
        </w:rPr>
        <w:t>当事人共同恶意调解造成损害国家利益、社会公共利益或案外人利益的，当事人须承担由此造成的不利法律后果。</w:t>
      </w:r>
    </w:p>
    <w:p>
      <w:pPr>
        <w:keepNext w:val="0"/>
        <w:keepLines w:val="0"/>
        <w:pageBreakBefore w:val="0"/>
        <w:widowControl w:val="0"/>
        <w:kinsoku/>
        <w:wordWrap/>
        <w:overflowPunct/>
        <w:topLinePunct w:val="0"/>
        <w:autoSpaceDE/>
        <w:autoSpaceDN/>
        <w:bidi w:val="0"/>
        <w:adjustRightInd/>
        <w:snapToGrid/>
        <w:spacing w:after="156"/>
        <w:ind w:firstLine="640" w:firstLineChars="200"/>
        <w:textAlignment w:val="auto"/>
        <w:rPr>
          <w:rFonts w:ascii="仿宋" w:hAnsi="仿宋" w:eastAsia="仿宋" w:cs="Arial"/>
          <w:sz w:val="32"/>
          <w:szCs w:val="32"/>
        </w:rPr>
      </w:pPr>
      <w:r>
        <w:rPr>
          <w:rFonts w:hint="eastAsia" w:ascii="仿宋" w:hAnsi="仿宋" w:eastAsia="仿宋" w:cs="Arial"/>
          <w:sz w:val="32"/>
          <w:szCs w:val="32"/>
        </w:rPr>
        <w:t>3.根据当事人向调解委员会移送的已提交的书面材料，本案应送达的所有文件，除当面递交外，调解委员会将按照下述收件人及地址送达：</w:t>
      </w:r>
    </w:p>
    <w:p>
      <w:pPr>
        <w:keepNext w:val="0"/>
        <w:keepLines w:val="0"/>
        <w:pageBreakBefore w:val="0"/>
        <w:widowControl w:val="0"/>
        <w:kinsoku/>
        <w:wordWrap/>
        <w:overflowPunct/>
        <w:topLinePunct w:val="0"/>
        <w:autoSpaceDE/>
        <w:autoSpaceDN/>
        <w:bidi w:val="0"/>
        <w:adjustRightInd/>
        <w:snapToGrid/>
        <w:spacing w:after="156"/>
        <w:ind w:firstLine="640" w:firstLineChars="200"/>
        <w:textAlignment w:val="auto"/>
        <w:rPr>
          <w:rFonts w:hint="eastAsia" w:ascii="仿宋" w:hAnsi="仿宋" w:eastAsia="仿宋" w:cs="Arial"/>
          <w:sz w:val="32"/>
          <w:szCs w:val="32"/>
        </w:rPr>
      </w:pPr>
      <w:r>
        <w:rPr>
          <w:rFonts w:hint="eastAsia" w:ascii="仿宋" w:hAnsi="仿宋" w:eastAsia="仿宋" w:cs="Arial"/>
          <w:sz w:val="32"/>
          <w:szCs w:val="32"/>
        </w:rPr>
        <w:t>申请人收件人：</w:t>
      </w:r>
    </w:p>
    <w:p>
      <w:pPr>
        <w:keepNext w:val="0"/>
        <w:keepLines w:val="0"/>
        <w:pageBreakBefore w:val="0"/>
        <w:widowControl w:val="0"/>
        <w:kinsoku/>
        <w:wordWrap/>
        <w:overflowPunct/>
        <w:topLinePunct w:val="0"/>
        <w:autoSpaceDE/>
        <w:autoSpaceDN/>
        <w:bidi w:val="0"/>
        <w:adjustRightInd/>
        <w:snapToGrid/>
        <w:spacing w:after="156"/>
        <w:ind w:firstLine="640" w:firstLineChars="200"/>
        <w:textAlignment w:val="auto"/>
        <w:rPr>
          <w:rFonts w:ascii="仿宋" w:hAnsi="仿宋" w:eastAsia="仿宋" w:cs="Arial"/>
          <w:sz w:val="32"/>
          <w:szCs w:val="32"/>
        </w:rPr>
      </w:pPr>
      <w:r>
        <w:rPr>
          <w:rFonts w:hint="eastAsia" w:ascii="仿宋" w:hAnsi="仿宋" w:eastAsia="仿宋" w:cs="Arial"/>
          <w:sz w:val="32"/>
          <w:szCs w:val="32"/>
        </w:rPr>
        <w:t>地址：</w:t>
      </w:r>
    </w:p>
    <w:p>
      <w:pPr>
        <w:keepNext w:val="0"/>
        <w:keepLines w:val="0"/>
        <w:pageBreakBefore w:val="0"/>
        <w:widowControl w:val="0"/>
        <w:kinsoku/>
        <w:wordWrap/>
        <w:overflowPunct/>
        <w:topLinePunct w:val="0"/>
        <w:autoSpaceDE/>
        <w:autoSpaceDN/>
        <w:bidi w:val="0"/>
        <w:adjustRightInd/>
        <w:snapToGrid/>
        <w:spacing w:after="156"/>
        <w:ind w:firstLine="640" w:firstLineChars="200"/>
        <w:textAlignment w:val="auto"/>
        <w:rPr>
          <w:rFonts w:ascii="仿宋" w:hAnsi="仿宋" w:eastAsia="仿宋" w:cs="Arial"/>
          <w:sz w:val="32"/>
          <w:szCs w:val="32"/>
        </w:rPr>
      </w:pPr>
      <w:r>
        <w:rPr>
          <w:rFonts w:hint="eastAsia" w:ascii="仿宋" w:hAnsi="仿宋" w:eastAsia="仿宋" w:cs="Arial"/>
          <w:sz w:val="32"/>
          <w:szCs w:val="32"/>
        </w:rPr>
        <w:t>被申请人收件人：</w:t>
      </w:r>
    </w:p>
    <w:p>
      <w:pPr>
        <w:keepNext w:val="0"/>
        <w:keepLines w:val="0"/>
        <w:pageBreakBefore w:val="0"/>
        <w:widowControl w:val="0"/>
        <w:kinsoku/>
        <w:wordWrap/>
        <w:overflowPunct/>
        <w:topLinePunct w:val="0"/>
        <w:autoSpaceDE/>
        <w:autoSpaceDN/>
        <w:bidi w:val="0"/>
        <w:adjustRightInd/>
        <w:snapToGrid/>
        <w:spacing w:after="156"/>
        <w:ind w:firstLine="640" w:firstLineChars="200"/>
        <w:textAlignment w:val="auto"/>
        <w:rPr>
          <w:rFonts w:ascii="仿宋" w:hAnsi="仿宋" w:eastAsia="仿宋" w:cs="Arial"/>
          <w:sz w:val="32"/>
          <w:szCs w:val="32"/>
        </w:rPr>
      </w:pPr>
      <w:r>
        <w:rPr>
          <w:rFonts w:hint="eastAsia" w:ascii="仿宋" w:hAnsi="仿宋" w:eastAsia="仿宋" w:cs="Arial"/>
          <w:sz w:val="32"/>
          <w:szCs w:val="32"/>
        </w:rPr>
        <w:t>地址：</w:t>
      </w:r>
    </w:p>
    <w:p>
      <w:pPr>
        <w:keepNext w:val="0"/>
        <w:keepLines w:val="0"/>
        <w:pageBreakBefore w:val="0"/>
        <w:widowControl w:val="0"/>
        <w:kinsoku/>
        <w:wordWrap/>
        <w:overflowPunct/>
        <w:topLinePunct w:val="0"/>
        <w:autoSpaceDE/>
        <w:autoSpaceDN/>
        <w:bidi w:val="0"/>
        <w:adjustRightInd/>
        <w:snapToGrid/>
        <w:spacing w:after="156"/>
        <w:ind w:firstLine="640" w:firstLineChars="200"/>
        <w:textAlignment w:val="auto"/>
        <w:rPr>
          <w:rFonts w:ascii="仿宋" w:hAnsi="仿宋" w:eastAsia="仿宋" w:cs="Arial"/>
          <w:sz w:val="32"/>
          <w:szCs w:val="32"/>
        </w:rPr>
      </w:pPr>
      <w:r>
        <w:rPr>
          <w:rFonts w:hint="eastAsia" w:ascii="仿宋" w:hAnsi="仿宋" w:eastAsia="仿宋" w:cs="Arial"/>
          <w:sz w:val="32"/>
          <w:szCs w:val="32"/>
        </w:rPr>
        <w:t>在本案以后的调解过程中，如收件人及收件地址发生变更，当事人应及时通知调解委员会。</w:t>
      </w:r>
    </w:p>
    <w:p>
      <w:pPr>
        <w:keepNext w:val="0"/>
        <w:keepLines w:val="0"/>
        <w:pageBreakBefore w:val="0"/>
        <w:widowControl w:val="0"/>
        <w:kinsoku/>
        <w:wordWrap/>
        <w:overflowPunct/>
        <w:topLinePunct w:val="0"/>
        <w:autoSpaceDE/>
        <w:autoSpaceDN/>
        <w:bidi w:val="0"/>
        <w:adjustRightInd/>
        <w:snapToGrid/>
        <w:spacing w:after="156"/>
        <w:ind w:firstLine="640" w:firstLineChars="200"/>
        <w:textAlignment w:val="auto"/>
        <w:rPr>
          <w:rFonts w:ascii="仿宋" w:hAnsi="仿宋" w:eastAsia="仿宋" w:cs="Arial"/>
          <w:sz w:val="32"/>
          <w:szCs w:val="32"/>
        </w:rPr>
      </w:pPr>
      <w:r>
        <w:rPr>
          <w:rFonts w:hint="eastAsia" w:ascii="仿宋" w:hAnsi="仿宋" w:eastAsia="仿宋" w:cs="Arial"/>
          <w:sz w:val="32"/>
          <w:szCs w:val="32"/>
        </w:rPr>
        <w:t>调解委员会致力于为平等主体之间的合同和其他财产权益纠纷提供中立、专业、高效的争议解决服务。当事人各方将在调解员的主持和行业专家的参与下就争议事项进行磋商。当事人各方、调解员及专家在调解程序中的任何陈述、意见、观点或建议，以及书面材料均不得用于之后的仲裁程序、司法程序或者其他任何程序。调解委员会期待着在今后的调解过程中为当事人各方提供及时、良好、有效的服务，亦希望当事人各方诚信合作，尽早妥善解决本案争议。</w:t>
      </w:r>
    </w:p>
    <w:p>
      <w:pPr>
        <w:spacing w:after="156"/>
        <w:ind w:firstLine="640" w:firstLineChars="200"/>
        <w:rPr>
          <w:rFonts w:ascii="仿宋" w:hAnsi="仿宋" w:eastAsia="仿宋" w:cs="Arial"/>
          <w:sz w:val="32"/>
          <w:szCs w:val="32"/>
        </w:rPr>
      </w:pPr>
      <w:r>
        <w:rPr>
          <w:rFonts w:hint="eastAsia" w:ascii="仿宋" w:hAnsi="仿宋" w:eastAsia="仿宋" w:cs="Arial"/>
          <w:sz w:val="32"/>
          <w:szCs w:val="32"/>
        </w:rPr>
        <w:t xml:space="preserve"> </w:t>
      </w: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jc w:val="left"/>
        <w:rPr>
          <w:rFonts w:ascii="仿宋" w:hAnsi="仿宋" w:eastAsia="仿宋" w:cs="仿宋"/>
          <w:sz w:val="32"/>
          <w:szCs w:val="32"/>
        </w:rPr>
      </w:pPr>
      <w:bookmarkStart w:id="1" w:name="_GoBack"/>
      <w:bookmarkEnd w:id="1"/>
    </w:p>
    <w:sectPr>
      <w:footerReference r:id="rId3" w:type="default"/>
      <w:footerReference r:id="rId4" w:type="even"/>
      <w:pgSz w:w="11906" w:h="16838"/>
      <w:pgMar w:top="1440" w:right="1701" w:bottom="1440"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PMingLiU">
    <w:altName w:val="Microsoft JhengHei UI"/>
    <w:panose1 w:val="02010601000101010101"/>
    <w:charset w:val="88"/>
    <w:family w:val="roman"/>
    <w:pitch w:val="default"/>
    <w:sig w:usb0="00000000" w:usb1="00000000" w:usb2="00000016" w:usb3="00000000" w:csb0="0010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1118905"/>
    </w:sdtPr>
    <w:sdtEndPr>
      <w:rPr>
        <w:sz w:val="24"/>
        <w:szCs w:val="24"/>
      </w:rPr>
    </w:sdtEndPr>
    <w:sdtContent>
      <w:p>
        <w:pPr>
          <w:pStyle w:val="6"/>
          <w:spacing w:before="120" w:after="120"/>
          <w:ind w:firstLine="360"/>
          <w:jc w:val="right"/>
          <w:rPr>
            <w:sz w:val="24"/>
            <w:szCs w:val="24"/>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0844329"/>
    </w:sdtPr>
    <w:sdtContent>
      <w:p>
        <w:pPr>
          <w:pStyle w:val="6"/>
          <w:spacing w:before="120" w:after="120"/>
          <w:ind w:firstLine="360"/>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M2MzNhMzljYjdjNzNlYTAxM2IzMGIwMWRlODE0YmQifQ=="/>
  </w:docVars>
  <w:rsids>
    <w:rsidRoot w:val="007672B4"/>
    <w:rsid w:val="000125A0"/>
    <w:rsid w:val="00013150"/>
    <w:rsid w:val="00017B52"/>
    <w:rsid w:val="0002368F"/>
    <w:rsid w:val="00023A2E"/>
    <w:rsid w:val="000251B6"/>
    <w:rsid w:val="0002743C"/>
    <w:rsid w:val="00031AEB"/>
    <w:rsid w:val="00051F6D"/>
    <w:rsid w:val="00055CF9"/>
    <w:rsid w:val="0006260B"/>
    <w:rsid w:val="00067485"/>
    <w:rsid w:val="00067C0C"/>
    <w:rsid w:val="000718BE"/>
    <w:rsid w:val="0007614B"/>
    <w:rsid w:val="00081E49"/>
    <w:rsid w:val="00082024"/>
    <w:rsid w:val="00082907"/>
    <w:rsid w:val="000873CC"/>
    <w:rsid w:val="00093C1D"/>
    <w:rsid w:val="00097DB3"/>
    <w:rsid w:val="000A373F"/>
    <w:rsid w:val="000B187E"/>
    <w:rsid w:val="000B4FFC"/>
    <w:rsid w:val="000C7C65"/>
    <w:rsid w:val="000D478C"/>
    <w:rsid w:val="000E1A96"/>
    <w:rsid w:val="000F2D08"/>
    <w:rsid w:val="000F77C8"/>
    <w:rsid w:val="001049E4"/>
    <w:rsid w:val="00105398"/>
    <w:rsid w:val="001100EA"/>
    <w:rsid w:val="0011393D"/>
    <w:rsid w:val="00120336"/>
    <w:rsid w:val="00120CA6"/>
    <w:rsid w:val="00126D1A"/>
    <w:rsid w:val="00135539"/>
    <w:rsid w:val="00143209"/>
    <w:rsid w:val="0014349E"/>
    <w:rsid w:val="00143639"/>
    <w:rsid w:val="001474EA"/>
    <w:rsid w:val="00147B8A"/>
    <w:rsid w:val="00153CBD"/>
    <w:rsid w:val="0016394D"/>
    <w:rsid w:val="00164952"/>
    <w:rsid w:val="00167FFC"/>
    <w:rsid w:val="0017542C"/>
    <w:rsid w:val="001825D2"/>
    <w:rsid w:val="00191716"/>
    <w:rsid w:val="001B606C"/>
    <w:rsid w:val="001C36AB"/>
    <w:rsid w:val="001C387A"/>
    <w:rsid w:val="001D26B1"/>
    <w:rsid w:val="001D6F36"/>
    <w:rsid w:val="001E353C"/>
    <w:rsid w:val="001E612B"/>
    <w:rsid w:val="001E799F"/>
    <w:rsid w:val="001F3DDD"/>
    <w:rsid w:val="001F7CB5"/>
    <w:rsid w:val="002008C1"/>
    <w:rsid w:val="00200D02"/>
    <w:rsid w:val="00206819"/>
    <w:rsid w:val="002140B4"/>
    <w:rsid w:val="00215033"/>
    <w:rsid w:val="00216E49"/>
    <w:rsid w:val="0023056D"/>
    <w:rsid w:val="00232C32"/>
    <w:rsid w:val="00236590"/>
    <w:rsid w:val="002373A2"/>
    <w:rsid w:val="00237C0E"/>
    <w:rsid w:val="002409D9"/>
    <w:rsid w:val="00242A16"/>
    <w:rsid w:val="002430E0"/>
    <w:rsid w:val="00243B5E"/>
    <w:rsid w:val="002456A4"/>
    <w:rsid w:val="00250F0F"/>
    <w:rsid w:val="002516B5"/>
    <w:rsid w:val="00251C9B"/>
    <w:rsid w:val="00256B76"/>
    <w:rsid w:val="0026144C"/>
    <w:rsid w:val="002632CC"/>
    <w:rsid w:val="00263B78"/>
    <w:rsid w:val="00265118"/>
    <w:rsid w:val="00265A3A"/>
    <w:rsid w:val="002662AC"/>
    <w:rsid w:val="00270DE6"/>
    <w:rsid w:val="002758E6"/>
    <w:rsid w:val="002852AC"/>
    <w:rsid w:val="0028558C"/>
    <w:rsid w:val="002859B0"/>
    <w:rsid w:val="00294DBA"/>
    <w:rsid w:val="0029575A"/>
    <w:rsid w:val="002A1D47"/>
    <w:rsid w:val="002A4677"/>
    <w:rsid w:val="002B0288"/>
    <w:rsid w:val="002B22FC"/>
    <w:rsid w:val="002B4BE1"/>
    <w:rsid w:val="002B517E"/>
    <w:rsid w:val="002C4A22"/>
    <w:rsid w:val="002D0528"/>
    <w:rsid w:val="002E3175"/>
    <w:rsid w:val="002E3D3D"/>
    <w:rsid w:val="002F270C"/>
    <w:rsid w:val="002F31D2"/>
    <w:rsid w:val="002F5A22"/>
    <w:rsid w:val="002F7E26"/>
    <w:rsid w:val="0030435B"/>
    <w:rsid w:val="0031083E"/>
    <w:rsid w:val="0031692F"/>
    <w:rsid w:val="00322D66"/>
    <w:rsid w:val="003309CA"/>
    <w:rsid w:val="00335CA1"/>
    <w:rsid w:val="0033787C"/>
    <w:rsid w:val="00344687"/>
    <w:rsid w:val="00344DD0"/>
    <w:rsid w:val="00355706"/>
    <w:rsid w:val="00357A5A"/>
    <w:rsid w:val="0036489E"/>
    <w:rsid w:val="00365D18"/>
    <w:rsid w:val="0038416D"/>
    <w:rsid w:val="00387963"/>
    <w:rsid w:val="003917FC"/>
    <w:rsid w:val="00392608"/>
    <w:rsid w:val="00393F24"/>
    <w:rsid w:val="003A181E"/>
    <w:rsid w:val="003A2CA5"/>
    <w:rsid w:val="003A6D7D"/>
    <w:rsid w:val="003B0DDB"/>
    <w:rsid w:val="003B2C56"/>
    <w:rsid w:val="003C5F94"/>
    <w:rsid w:val="003C6CA6"/>
    <w:rsid w:val="003C7239"/>
    <w:rsid w:val="003E54BF"/>
    <w:rsid w:val="003E78BF"/>
    <w:rsid w:val="003F152B"/>
    <w:rsid w:val="003F3520"/>
    <w:rsid w:val="0040016B"/>
    <w:rsid w:val="004067B4"/>
    <w:rsid w:val="004502ED"/>
    <w:rsid w:val="00455ACA"/>
    <w:rsid w:val="00455EAA"/>
    <w:rsid w:val="00456586"/>
    <w:rsid w:val="00472CC2"/>
    <w:rsid w:val="0047335D"/>
    <w:rsid w:val="00473CBB"/>
    <w:rsid w:val="004770C5"/>
    <w:rsid w:val="00486E45"/>
    <w:rsid w:val="00492569"/>
    <w:rsid w:val="004B1427"/>
    <w:rsid w:val="004B2652"/>
    <w:rsid w:val="004B3281"/>
    <w:rsid w:val="004B4609"/>
    <w:rsid w:val="004B4D35"/>
    <w:rsid w:val="004C0287"/>
    <w:rsid w:val="004C3566"/>
    <w:rsid w:val="004C51FE"/>
    <w:rsid w:val="004C5752"/>
    <w:rsid w:val="004C6E86"/>
    <w:rsid w:val="004D03C1"/>
    <w:rsid w:val="004D0E67"/>
    <w:rsid w:val="004D25F2"/>
    <w:rsid w:val="004D6B9B"/>
    <w:rsid w:val="004E3B13"/>
    <w:rsid w:val="004F1542"/>
    <w:rsid w:val="004F1BF3"/>
    <w:rsid w:val="00502DB9"/>
    <w:rsid w:val="00502FD6"/>
    <w:rsid w:val="00517C09"/>
    <w:rsid w:val="005210C5"/>
    <w:rsid w:val="0052695A"/>
    <w:rsid w:val="00531C02"/>
    <w:rsid w:val="005371DD"/>
    <w:rsid w:val="00540DA6"/>
    <w:rsid w:val="00543CFD"/>
    <w:rsid w:val="00552146"/>
    <w:rsid w:val="00557FE0"/>
    <w:rsid w:val="005636DA"/>
    <w:rsid w:val="005654EE"/>
    <w:rsid w:val="00574A68"/>
    <w:rsid w:val="0057716C"/>
    <w:rsid w:val="00583F41"/>
    <w:rsid w:val="00591DB7"/>
    <w:rsid w:val="005974E3"/>
    <w:rsid w:val="005A0001"/>
    <w:rsid w:val="005A1951"/>
    <w:rsid w:val="005A33F2"/>
    <w:rsid w:val="005C0B38"/>
    <w:rsid w:val="005C5C68"/>
    <w:rsid w:val="005D39BE"/>
    <w:rsid w:val="005D4F39"/>
    <w:rsid w:val="005D6DBC"/>
    <w:rsid w:val="005D6FB2"/>
    <w:rsid w:val="005D71A1"/>
    <w:rsid w:val="005D7E83"/>
    <w:rsid w:val="005F51FC"/>
    <w:rsid w:val="005F5FAE"/>
    <w:rsid w:val="005F6978"/>
    <w:rsid w:val="00607073"/>
    <w:rsid w:val="00612B42"/>
    <w:rsid w:val="00615665"/>
    <w:rsid w:val="00621C27"/>
    <w:rsid w:val="006274DF"/>
    <w:rsid w:val="00632129"/>
    <w:rsid w:val="0063223D"/>
    <w:rsid w:val="006331F7"/>
    <w:rsid w:val="006357EA"/>
    <w:rsid w:val="00637117"/>
    <w:rsid w:val="00655639"/>
    <w:rsid w:val="006556C3"/>
    <w:rsid w:val="006568F5"/>
    <w:rsid w:val="00662C95"/>
    <w:rsid w:val="006730F9"/>
    <w:rsid w:val="006820E1"/>
    <w:rsid w:val="00686EB9"/>
    <w:rsid w:val="0069320C"/>
    <w:rsid w:val="0069440B"/>
    <w:rsid w:val="00695E8A"/>
    <w:rsid w:val="00696B6F"/>
    <w:rsid w:val="006A118A"/>
    <w:rsid w:val="006A3458"/>
    <w:rsid w:val="006A71C4"/>
    <w:rsid w:val="006B6934"/>
    <w:rsid w:val="006B72AB"/>
    <w:rsid w:val="006C48BD"/>
    <w:rsid w:val="006D00E7"/>
    <w:rsid w:val="006D0120"/>
    <w:rsid w:val="006D0153"/>
    <w:rsid w:val="006D0FC1"/>
    <w:rsid w:val="006D6721"/>
    <w:rsid w:val="006E25EC"/>
    <w:rsid w:val="006E5A25"/>
    <w:rsid w:val="00705062"/>
    <w:rsid w:val="0070536C"/>
    <w:rsid w:val="00706237"/>
    <w:rsid w:val="00711D9D"/>
    <w:rsid w:val="00712009"/>
    <w:rsid w:val="00713E2F"/>
    <w:rsid w:val="0072124A"/>
    <w:rsid w:val="00727FA6"/>
    <w:rsid w:val="007302D5"/>
    <w:rsid w:val="00742778"/>
    <w:rsid w:val="00750EB4"/>
    <w:rsid w:val="0075625D"/>
    <w:rsid w:val="00760FA6"/>
    <w:rsid w:val="00761660"/>
    <w:rsid w:val="00764BE2"/>
    <w:rsid w:val="00764FC0"/>
    <w:rsid w:val="007672B4"/>
    <w:rsid w:val="007717D5"/>
    <w:rsid w:val="00775348"/>
    <w:rsid w:val="00775B1B"/>
    <w:rsid w:val="00777EF8"/>
    <w:rsid w:val="00786163"/>
    <w:rsid w:val="0079707F"/>
    <w:rsid w:val="007A28C4"/>
    <w:rsid w:val="007A3AA1"/>
    <w:rsid w:val="007A4176"/>
    <w:rsid w:val="007B16BB"/>
    <w:rsid w:val="007C1915"/>
    <w:rsid w:val="007C5D56"/>
    <w:rsid w:val="007D30AD"/>
    <w:rsid w:val="007E06D0"/>
    <w:rsid w:val="007F04AE"/>
    <w:rsid w:val="008035A2"/>
    <w:rsid w:val="00803A43"/>
    <w:rsid w:val="0080405C"/>
    <w:rsid w:val="008068CB"/>
    <w:rsid w:val="00807F58"/>
    <w:rsid w:val="00817E6F"/>
    <w:rsid w:val="008219BB"/>
    <w:rsid w:val="008373B7"/>
    <w:rsid w:val="00843301"/>
    <w:rsid w:val="00861E08"/>
    <w:rsid w:val="008620EE"/>
    <w:rsid w:val="00864A22"/>
    <w:rsid w:val="008812D4"/>
    <w:rsid w:val="00881D76"/>
    <w:rsid w:val="00881DEE"/>
    <w:rsid w:val="00894A7D"/>
    <w:rsid w:val="00895DD0"/>
    <w:rsid w:val="008A4E5F"/>
    <w:rsid w:val="008A6B7D"/>
    <w:rsid w:val="008A76C7"/>
    <w:rsid w:val="008B3D7A"/>
    <w:rsid w:val="008B6513"/>
    <w:rsid w:val="008C107D"/>
    <w:rsid w:val="008C4E14"/>
    <w:rsid w:val="008D052F"/>
    <w:rsid w:val="008D2085"/>
    <w:rsid w:val="008D25BB"/>
    <w:rsid w:val="008D79D7"/>
    <w:rsid w:val="008F19B3"/>
    <w:rsid w:val="008F424F"/>
    <w:rsid w:val="008F4553"/>
    <w:rsid w:val="008F71B3"/>
    <w:rsid w:val="00907AEC"/>
    <w:rsid w:val="00916CDD"/>
    <w:rsid w:val="00920ED8"/>
    <w:rsid w:val="009218D0"/>
    <w:rsid w:val="00921B95"/>
    <w:rsid w:val="009250E5"/>
    <w:rsid w:val="00937F4B"/>
    <w:rsid w:val="0094219C"/>
    <w:rsid w:val="00945B9D"/>
    <w:rsid w:val="009524C0"/>
    <w:rsid w:val="009720A6"/>
    <w:rsid w:val="009728EC"/>
    <w:rsid w:val="00975AFB"/>
    <w:rsid w:val="00986916"/>
    <w:rsid w:val="009A377F"/>
    <w:rsid w:val="009B0208"/>
    <w:rsid w:val="009B1D53"/>
    <w:rsid w:val="009B36E6"/>
    <w:rsid w:val="009B6975"/>
    <w:rsid w:val="009C5A3B"/>
    <w:rsid w:val="009C67EA"/>
    <w:rsid w:val="009D08AF"/>
    <w:rsid w:val="009D3E3B"/>
    <w:rsid w:val="009D54FE"/>
    <w:rsid w:val="009D743D"/>
    <w:rsid w:val="009D7ABC"/>
    <w:rsid w:val="009E2875"/>
    <w:rsid w:val="009E2E68"/>
    <w:rsid w:val="009E4B14"/>
    <w:rsid w:val="009E5542"/>
    <w:rsid w:val="009F1081"/>
    <w:rsid w:val="009F5324"/>
    <w:rsid w:val="00A10063"/>
    <w:rsid w:val="00A109CC"/>
    <w:rsid w:val="00A11FE9"/>
    <w:rsid w:val="00A22661"/>
    <w:rsid w:val="00A4513C"/>
    <w:rsid w:val="00A54B2B"/>
    <w:rsid w:val="00A55A83"/>
    <w:rsid w:val="00A65EC0"/>
    <w:rsid w:val="00A67B4F"/>
    <w:rsid w:val="00A73480"/>
    <w:rsid w:val="00A75F5E"/>
    <w:rsid w:val="00A7777D"/>
    <w:rsid w:val="00A827DF"/>
    <w:rsid w:val="00A8610A"/>
    <w:rsid w:val="00A878F1"/>
    <w:rsid w:val="00A87D0A"/>
    <w:rsid w:val="00A90C06"/>
    <w:rsid w:val="00AC2293"/>
    <w:rsid w:val="00AC2C92"/>
    <w:rsid w:val="00AC3831"/>
    <w:rsid w:val="00AD24BB"/>
    <w:rsid w:val="00AD62D6"/>
    <w:rsid w:val="00AE0524"/>
    <w:rsid w:val="00AE497F"/>
    <w:rsid w:val="00AF2341"/>
    <w:rsid w:val="00AF6044"/>
    <w:rsid w:val="00B130F1"/>
    <w:rsid w:val="00B14008"/>
    <w:rsid w:val="00B21A03"/>
    <w:rsid w:val="00B21FA4"/>
    <w:rsid w:val="00B23191"/>
    <w:rsid w:val="00B259A1"/>
    <w:rsid w:val="00B30384"/>
    <w:rsid w:val="00B304FD"/>
    <w:rsid w:val="00B404ED"/>
    <w:rsid w:val="00B41F0D"/>
    <w:rsid w:val="00B4210F"/>
    <w:rsid w:val="00B44939"/>
    <w:rsid w:val="00B44B67"/>
    <w:rsid w:val="00B47253"/>
    <w:rsid w:val="00B65E04"/>
    <w:rsid w:val="00B71988"/>
    <w:rsid w:val="00B75B7C"/>
    <w:rsid w:val="00B7753E"/>
    <w:rsid w:val="00B85279"/>
    <w:rsid w:val="00B915F4"/>
    <w:rsid w:val="00B91768"/>
    <w:rsid w:val="00B94E19"/>
    <w:rsid w:val="00B963DF"/>
    <w:rsid w:val="00BA4B8B"/>
    <w:rsid w:val="00BB056D"/>
    <w:rsid w:val="00BB27C2"/>
    <w:rsid w:val="00BB736A"/>
    <w:rsid w:val="00BC405A"/>
    <w:rsid w:val="00BC4459"/>
    <w:rsid w:val="00BC7415"/>
    <w:rsid w:val="00BE3340"/>
    <w:rsid w:val="00BE67E3"/>
    <w:rsid w:val="00BF0574"/>
    <w:rsid w:val="00BF2C76"/>
    <w:rsid w:val="00BF45BB"/>
    <w:rsid w:val="00BF5831"/>
    <w:rsid w:val="00BF7211"/>
    <w:rsid w:val="00C00EF9"/>
    <w:rsid w:val="00C048AC"/>
    <w:rsid w:val="00C05272"/>
    <w:rsid w:val="00C1352F"/>
    <w:rsid w:val="00C135A5"/>
    <w:rsid w:val="00C13C4A"/>
    <w:rsid w:val="00C13F19"/>
    <w:rsid w:val="00C21AB8"/>
    <w:rsid w:val="00C222D6"/>
    <w:rsid w:val="00C2411B"/>
    <w:rsid w:val="00C275B3"/>
    <w:rsid w:val="00C27D23"/>
    <w:rsid w:val="00C36A01"/>
    <w:rsid w:val="00C40CDF"/>
    <w:rsid w:val="00C40FD1"/>
    <w:rsid w:val="00C41241"/>
    <w:rsid w:val="00C41D2A"/>
    <w:rsid w:val="00C42C62"/>
    <w:rsid w:val="00C477E5"/>
    <w:rsid w:val="00C60E26"/>
    <w:rsid w:val="00C64D3C"/>
    <w:rsid w:val="00C66560"/>
    <w:rsid w:val="00C7222F"/>
    <w:rsid w:val="00C740D3"/>
    <w:rsid w:val="00C7609E"/>
    <w:rsid w:val="00C77F51"/>
    <w:rsid w:val="00C82E41"/>
    <w:rsid w:val="00CB1977"/>
    <w:rsid w:val="00CB3184"/>
    <w:rsid w:val="00CB3EC3"/>
    <w:rsid w:val="00CB4900"/>
    <w:rsid w:val="00CB4FD6"/>
    <w:rsid w:val="00CB7E86"/>
    <w:rsid w:val="00CC1C9E"/>
    <w:rsid w:val="00CC449D"/>
    <w:rsid w:val="00CC6DAC"/>
    <w:rsid w:val="00CD05FE"/>
    <w:rsid w:val="00CD0D1D"/>
    <w:rsid w:val="00CD10F6"/>
    <w:rsid w:val="00CD1E1F"/>
    <w:rsid w:val="00CD6D22"/>
    <w:rsid w:val="00CD7DEF"/>
    <w:rsid w:val="00CE22B2"/>
    <w:rsid w:val="00CE67D9"/>
    <w:rsid w:val="00CE6D68"/>
    <w:rsid w:val="00CF3D9A"/>
    <w:rsid w:val="00CF5E48"/>
    <w:rsid w:val="00CF7F83"/>
    <w:rsid w:val="00D03F1E"/>
    <w:rsid w:val="00D043F9"/>
    <w:rsid w:val="00D11770"/>
    <w:rsid w:val="00D1284A"/>
    <w:rsid w:val="00D1330B"/>
    <w:rsid w:val="00D158F2"/>
    <w:rsid w:val="00D2374A"/>
    <w:rsid w:val="00D23F80"/>
    <w:rsid w:val="00D2443C"/>
    <w:rsid w:val="00D34583"/>
    <w:rsid w:val="00D354F5"/>
    <w:rsid w:val="00D47E50"/>
    <w:rsid w:val="00D5056A"/>
    <w:rsid w:val="00D50867"/>
    <w:rsid w:val="00D529EA"/>
    <w:rsid w:val="00D60248"/>
    <w:rsid w:val="00D76F10"/>
    <w:rsid w:val="00D92EDE"/>
    <w:rsid w:val="00D94F05"/>
    <w:rsid w:val="00DA6D22"/>
    <w:rsid w:val="00DC0736"/>
    <w:rsid w:val="00DC5C53"/>
    <w:rsid w:val="00DC6740"/>
    <w:rsid w:val="00DD2CF8"/>
    <w:rsid w:val="00DD64C6"/>
    <w:rsid w:val="00DD79A0"/>
    <w:rsid w:val="00DE2AA4"/>
    <w:rsid w:val="00DF186A"/>
    <w:rsid w:val="00DF259A"/>
    <w:rsid w:val="00DF3DC4"/>
    <w:rsid w:val="00DF4483"/>
    <w:rsid w:val="00DF6625"/>
    <w:rsid w:val="00DF7592"/>
    <w:rsid w:val="00E115E1"/>
    <w:rsid w:val="00E14513"/>
    <w:rsid w:val="00E27A20"/>
    <w:rsid w:val="00E33C6C"/>
    <w:rsid w:val="00E3438B"/>
    <w:rsid w:val="00E40D85"/>
    <w:rsid w:val="00E4134E"/>
    <w:rsid w:val="00E55292"/>
    <w:rsid w:val="00E5759E"/>
    <w:rsid w:val="00E66219"/>
    <w:rsid w:val="00E7038F"/>
    <w:rsid w:val="00E710FF"/>
    <w:rsid w:val="00E73417"/>
    <w:rsid w:val="00E917BD"/>
    <w:rsid w:val="00E963A6"/>
    <w:rsid w:val="00E97970"/>
    <w:rsid w:val="00EA0D33"/>
    <w:rsid w:val="00EA5B6E"/>
    <w:rsid w:val="00EB5FAE"/>
    <w:rsid w:val="00EB70B9"/>
    <w:rsid w:val="00EC0677"/>
    <w:rsid w:val="00EC5801"/>
    <w:rsid w:val="00EC669E"/>
    <w:rsid w:val="00EC6D28"/>
    <w:rsid w:val="00ED0F30"/>
    <w:rsid w:val="00ED286B"/>
    <w:rsid w:val="00ED5FFC"/>
    <w:rsid w:val="00ED711D"/>
    <w:rsid w:val="00ED71EF"/>
    <w:rsid w:val="00EE026A"/>
    <w:rsid w:val="00EE3CB2"/>
    <w:rsid w:val="00EF2915"/>
    <w:rsid w:val="00EF5386"/>
    <w:rsid w:val="00EF5F86"/>
    <w:rsid w:val="00F06C73"/>
    <w:rsid w:val="00F10827"/>
    <w:rsid w:val="00F1331A"/>
    <w:rsid w:val="00F142B5"/>
    <w:rsid w:val="00F16380"/>
    <w:rsid w:val="00F17A9A"/>
    <w:rsid w:val="00F21F96"/>
    <w:rsid w:val="00F2755C"/>
    <w:rsid w:val="00F31397"/>
    <w:rsid w:val="00F31EF7"/>
    <w:rsid w:val="00F42892"/>
    <w:rsid w:val="00F447D6"/>
    <w:rsid w:val="00F468E0"/>
    <w:rsid w:val="00F5034D"/>
    <w:rsid w:val="00F51F36"/>
    <w:rsid w:val="00F52990"/>
    <w:rsid w:val="00F54859"/>
    <w:rsid w:val="00F574CE"/>
    <w:rsid w:val="00F63B2D"/>
    <w:rsid w:val="00F66E25"/>
    <w:rsid w:val="00F76BEA"/>
    <w:rsid w:val="00F827E2"/>
    <w:rsid w:val="00F9232A"/>
    <w:rsid w:val="00F94CBF"/>
    <w:rsid w:val="00FB7E03"/>
    <w:rsid w:val="00FC2851"/>
    <w:rsid w:val="00FC43F2"/>
    <w:rsid w:val="00FC57D5"/>
    <w:rsid w:val="00FC6EC4"/>
    <w:rsid w:val="00FD25B3"/>
    <w:rsid w:val="00FE79A6"/>
    <w:rsid w:val="00FF3637"/>
    <w:rsid w:val="00FF5831"/>
    <w:rsid w:val="01203C45"/>
    <w:rsid w:val="01C61C88"/>
    <w:rsid w:val="01E50D53"/>
    <w:rsid w:val="02106940"/>
    <w:rsid w:val="026D75F1"/>
    <w:rsid w:val="049726D9"/>
    <w:rsid w:val="04CD61FB"/>
    <w:rsid w:val="04E739A8"/>
    <w:rsid w:val="05B80C59"/>
    <w:rsid w:val="07224C2D"/>
    <w:rsid w:val="07813880"/>
    <w:rsid w:val="07B15BA0"/>
    <w:rsid w:val="097F5C24"/>
    <w:rsid w:val="0AA006ED"/>
    <w:rsid w:val="0AF3751F"/>
    <w:rsid w:val="0B283CAA"/>
    <w:rsid w:val="0C126DC0"/>
    <w:rsid w:val="0C4D19CF"/>
    <w:rsid w:val="0C993163"/>
    <w:rsid w:val="0C9F50A5"/>
    <w:rsid w:val="0D7116ED"/>
    <w:rsid w:val="0DFF0278"/>
    <w:rsid w:val="0EC868B9"/>
    <w:rsid w:val="0F45647D"/>
    <w:rsid w:val="0F661753"/>
    <w:rsid w:val="108B2B76"/>
    <w:rsid w:val="10E20CD5"/>
    <w:rsid w:val="11733C86"/>
    <w:rsid w:val="118972A0"/>
    <w:rsid w:val="122A4C8C"/>
    <w:rsid w:val="127F48AC"/>
    <w:rsid w:val="12B47ECF"/>
    <w:rsid w:val="13A164A9"/>
    <w:rsid w:val="17082951"/>
    <w:rsid w:val="1735369E"/>
    <w:rsid w:val="177F1745"/>
    <w:rsid w:val="18E624DF"/>
    <w:rsid w:val="1994024C"/>
    <w:rsid w:val="19C43899"/>
    <w:rsid w:val="19CF3052"/>
    <w:rsid w:val="1A017588"/>
    <w:rsid w:val="1C08580C"/>
    <w:rsid w:val="1C8279A5"/>
    <w:rsid w:val="1CA14CD8"/>
    <w:rsid w:val="1CC26B7B"/>
    <w:rsid w:val="1E006642"/>
    <w:rsid w:val="1E8410C1"/>
    <w:rsid w:val="1F4D30F9"/>
    <w:rsid w:val="1F4F4244"/>
    <w:rsid w:val="1FBB5FF7"/>
    <w:rsid w:val="20CA13E8"/>
    <w:rsid w:val="21AF6E2B"/>
    <w:rsid w:val="21F941EE"/>
    <w:rsid w:val="2202056A"/>
    <w:rsid w:val="22031DFD"/>
    <w:rsid w:val="228A5503"/>
    <w:rsid w:val="22A17591"/>
    <w:rsid w:val="22F028ED"/>
    <w:rsid w:val="23737B15"/>
    <w:rsid w:val="24EE18E8"/>
    <w:rsid w:val="251B7070"/>
    <w:rsid w:val="2583392A"/>
    <w:rsid w:val="26190E48"/>
    <w:rsid w:val="26553C9C"/>
    <w:rsid w:val="27B1094A"/>
    <w:rsid w:val="27C962B0"/>
    <w:rsid w:val="283E277E"/>
    <w:rsid w:val="290F1DCD"/>
    <w:rsid w:val="2AC84BEB"/>
    <w:rsid w:val="2AE6004C"/>
    <w:rsid w:val="2B08007B"/>
    <w:rsid w:val="2BB97DE5"/>
    <w:rsid w:val="2BD1110F"/>
    <w:rsid w:val="2C412EA7"/>
    <w:rsid w:val="2CB371D5"/>
    <w:rsid w:val="2CBC0661"/>
    <w:rsid w:val="2DC45B3D"/>
    <w:rsid w:val="2E516CA5"/>
    <w:rsid w:val="2E6A3E61"/>
    <w:rsid w:val="2E852ACB"/>
    <w:rsid w:val="2E927A70"/>
    <w:rsid w:val="2E974EFA"/>
    <w:rsid w:val="2FF70881"/>
    <w:rsid w:val="30793699"/>
    <w:rsid w:val="31325BAD"/>
    <w:rsid w:val="31D2430F"/>
    <w:rsid w:val="326104CC"/>
    <w:rsid w:val="32925AEB"/>
    <w:rsid w:val="32BD51E7"/>
    <w:rsid w:val="337C4DCC"/>
    <w:rsid w:val="33817890"/>
    <w:rsid w:val="33C05E37"/>
    <w:rsid w:val="34B3500C"/>
    <w:rsid w:val="34F5736F"/>
    <w:rsid w:val="353D7F83"/>
    <w:rsid w:val="35435526"/>
    <w:rsid w:val="35614B1E"/>
    <w:rsid w:val="364C6EB7"/>
    <w:rsid w:val="365A3DFE"/>
    <w:rsid w:val="366E46A5"/>
    <w:rsid w:val="37723308"/>
    <w:rsid w:val="37C329C2"/>
    <w:rsid w:val="37C56D30"/>
    <w:rsid w:val="38BE7ED1"/>
    <w:rsid w:val="38C87EA5"/>
    <w:rsid w:val="391E6D2F"/>
    <w:rsid w:val="3A3245F4"/>
    <w:rsid w:val="3A6B7318"/>
    <w:rsid w:val="3A8F74D3"/>
    <w:rsid w:val="3B9A612F"/>
    <w:rsid w:val="3C4B3E31"/>
    <w:rsid w:val="3D606287"/>
    <w:rsid w:val="3DC32960"/>
    <w:rsid w:val="3E4E607E"/>
    <w:rsid w:val="3F0A549F"/>
    <w:rsid w:val="3F8346B3"/>
    <w:rsid w:val="402E32EA"/>
    <w:rsid w:val="40E02183"/>
    <w:rsid w:val="41753B28"/>
    <w:rsid w:val="41BE24F6"/>
    <w:rsid w:val="42674045"/>
    <w:rsid w:val="42E65623"/>
    <w:rsid w:val="42FB27EA"/>
    <w:rsid w:val="435722DB"/>
    <w:rsid w:val="43FE2557"/>
    <w:rsid w:val="44521F12"/>
    <w:rsid w:val="446928EF"/>
    <w:rsid w:val="454119B1"/>
    <w:rsid w:val="454C313F"/>
    <w:rsid w:val="4651388E"/>
    <w:rsid w:val="47A06CAF"/>
    <w:rsid w:val="47D227B4"/>
    <w:rsid w:val="485564D9"/>
    <w:rsid w:val="48603473"/>
    <w:rsid w:val="49A903D6"/>
    <w:rsid w:val="4A4C1EF3"/>
    <w:rsid w:val="4AB81E31"/>
    <w:rsid w:val="4AC73866"/>
    <w:rsid w:val="4B7151A0"/>
    <w:rsid w:val="4B902472"/>
    <w:rsid w:val="4BDF466D"/>
    <w:rsid w:val="4C460715"/>
    <w:rsid w:val="4D8F1C0E"/>
    <w:rsid w:val="4DD75270"/>
    <w:rsid w:val="4DF71BCA"/>
    <w:rsid w:val="4F2D28A9"/>
    <w:rsid w:val="4F7056C8"/>
    <w:rsid w:val="4F93167D"/>
    <w:rsid w:val="4FFB188B"/>
    <w:rsid w:val="50905ED5"/>
    <w:rsid w:val="510C4F82"/>
    <w:rsid w:val="515A1EC7"/>
    <w:rsid w:val="51672DC1"/>
    <w:rsid w:val="516B24AC"/>
    <w:rsid w:val="53AC627D"/>
    <w:rsid w:val="53CE2D4F"/>
    <w:rsid w:val="541612B2"/>
    <w:rsid w:val="54320AA8"/>
    <w:rsid w:val="545D7D13"/>
    <w:rsid w:val="54B90F7D"/>
    <w:rsid w:val="55720B30"/>
    <w:rsid w:val="573B2994"/>
    <w:rsid w:val="585C0E24"/>
    <w:rsid w:val="586E3BA6"/>
    <w:rsid w:val="58C92247"/>
    <w:rsid w:val="58D311FD"/>
    <w:rsid w:val="592D3CE7"/>
    <w:rsid w:val="59384D8C"/>
    <w:rsid w:val="5B9E711E"/>
    <w:rsid w:val="5BA96DEC"/>
    <w:rsid w:val="5D2673CB"/>
    <w:rsid w:val="5F54361A"/>
    <w:rsid w:val="5FD12C4B"/>
    <w:rsid w:val="601B62DD"/>
    <w:rsid w:val="60290DB0"/>
    <w:rsid w:val="60FF2E91"/>
    <w:rsid w:val="61B76C5D"/>
    <w:rsid w:val="627B5AE9"/>
    <w:rsid w:val="63B22726"/>
    <w:rsid w:val="649D15AD"/>
    <w:rsid w:val="656849C7"/>
    <w:rsid w:val="673162C4"/>
    <w:rsid w:val="673C1F7B"/>
    <w:rsid w:val="6834699D"/>
    <w:rsid w:val="6A8936E0"/>
    <w:rsid w:val="6B3D2D2F"/>
    <w:rsid w:val="6B887679"/>
    <w:rsid w:val="6BCE41AD"/>
    <w:rsid w:val="6C43114B"/>
    <w:rsid w:val="6C4F3164"/>
    <w:rsid w:val="6CDD36FF"/>
    <w:rsid w:val="6E1B4102"/>
    <w:rsid w:val="6E417B7F"/>
    <w:rsid w:val="6E5271B9"/>
    <w:rsid w:val="6EEB5D7F"/>
    <w:rsid w:val="6F097B34"/>
    <w:rsid w:val="6F5B7EBE"/>
    <w:rsid w:val="6FD9207B"/>
    <w:rsid w:val="702D5004"/>
    <w:rsid w:val="703053DA"/>
    <w:rsid w:val="711263FC"/>
    <w:rsid w:val="719D2EA2"/>
    <w:rsid w:val="71E82F09"/>
    <w:rsid w:val="723B156F"/>
    <w:rsid w:val="72EF1DDB"/>
    <w:rsid w:val="736A42F3"/>
    <w:rsid w:val="74626AE3"/>
    <w:rsid w:val="74727808"/>
    <w:rsid w:val="747C45EE"/>
    <w:rsid w:val="74F96A4D"/>
    <w:rsid w:val="767B0330"/>
    <w:rsid w:val="76D11CFE"/>
    <w:rsid w:val="77390431"/>
    <w:rsid w:val="77B66A76"/>
    <w:rsid w:val="780D31B7"/>
    <w:rsid w:val="787F7085"/>
    <w:rsid w:val="79917593"/>
    <w:rsid w:val="799442DD"/>
    <w:rsid w:val="79F063B9"/>
    <w:rsid w:val="7A5D1D8F"/>
    <w:rsid w:val="7ACF33EC"/>
    <w:rsid w:val="7AD1051F"/>
    <w:rsid w:val="7B4D3C62"/>
    <w:rsid w:val="7B503B39"/>
    <w:rsid w:val="7C8E7010"/>
    <w:rsid w:val="7CDE3D4D"/>
    <w:rsid w:val="7D6222E9"/>
    <w:rsid w:val="7D823B37"/>
    <w:rsid w:val="7DA2123B"/>
    <w:rsid w:val="7DC64B18"/>
    <w:rsid w:val="7FC27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autoRedefine/>
    <w:qFormat/>
    <w:uiPriority w:val="9"/>
    <w:pPr>
      <w:keepNext/>
      <w:keepLines/>
      <w:spacing w:before="340" w:after="330" w:line="578" w:lineRule="auto"/>
      <w:outlineLvl w:val="0"/>
    </w:pPr>
    <w:rPr>
      <w:b/>
      <w:bCs/>
      <w:kern w:val="44"/>
      <w:sz w:val="44"/>
      <w:szCs w:val="44"/>
    </w:rPr>
  </w:style>
  <w:style w:type="character" w:default="1" w:styleId="13">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23"/>
    <w:autoRedefine/>
    <w:semiHidden/>
    <w:unhideWhenUsed/>
    <w:qFormat/>
    <w:uiPriority w:val="99"/>
    <w:pPr>
      <w:jc w:val="left"/>
    </w:pPr>
  </w:style>
  <w:style w:type="paragraph" w:styleId="4">
    <w:name w:val="Date"/>
    <w:basedOn w:val="1"/>
    <w:next w:val="1"/>
    <w:link w:val="25"/>
    <w:autoRedefine/>
    <w:semiHidden/>
    <w:unhideWhenUsed/>
    <w:qFormat/>
    <w:uiPriority w:val="99"/>
    <w:pPr>
      <w:ind w:left="100" w:leftChars="2500"/>
    </w:pPr>
  </w:style>
  <w:style w:type="paragraph" w:styleId="5">
    <w:name w:val="Balloon Text"/>
    <w:basedOn w:val="1"/>
    <w:link w:val="22"/>
    <w:autoRedefine/>
    <w:semiHidden/>
    <w:unhideWhenUsed/>
    <w:qFormat/>
    <w:uiPriority w:val="99"/>
    <w:rPr>
      <w:sz w:val="18"/>
      <w:szCs w:val="18"/>
    </w:rPr>
  </w:style>
  <w:style w:type="paragraph" w:styleId="6">
    <w:name w:val="footer"/>
    <w:basedOn w:val="1"/>
    <w:link w:val="17"/>
    <w:autoRedefine/>
    <w:unhideWhenUsed/>
    <w:qFormat/>
    <w:uiPriority w:val="99"/>
    <w:pPr>
      <w:tabs>
        <w:tab w:val="center" w:pos="4153"/>
        <w:tab w:val="right" w:pos="8306"/>
      </w:tabs>
      <w:snapToGrid w:val="0"/>
      <w:jc w:val="left"/>
    </w:pPr>
    <w:rPr>
      <w:sz w:val="18"/>
      <w:szCs w:val="18"/>
    </w:rPr>
  </w:style>
  <w:style w:type="paragraph" w:styleId="7">
    <w:name w:val="header"/>
    <w:basedOn w:val="1"/>
    <w:link w:val="16"/>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27"/>
    <w:autoRedefine/>
    <w:qFormat/>
    <w:uiPriority w:val="0"/>
    <w:pPr>
      <w:spacing w:before="100" w:beforeAutospacing="1" w:after="100" w:afterAutospacing="1"/>
      <w:jc w:val="center"/>
      <w:outlineLvl w:val="1"/>
    </w:pPr>
    <w:rPr>
      <w:rFonts w:ascii="Cambria" w:hAnsi="Cambria" w:cs="Times New Roman"/>
      <w:b/>
      <w:bCs/>
      <w:kern w:val="28"/>
      <w:sz w:val="36"/>
      <w:szCs w:val="32"/>
    </w:rPr>
  </w:style>
  <w:style w:type="paragraph" w:styleId="9">
    <w:name w:val="Normal (Web)"/>
    <w:basedOn w:val="1"/>
    <w:autoRedefine/>
    <w:semiHidden/>
    <w:qFormat/>
    <w:uiPriority w:val="0"/>
    <w:pPr>
      <w:widowControl/>
      <w:spacing w:before="100" w:beforeAutospacing="1" w:after="100" w:afterAutospacing="1"/>
      <w:jc w:val="left"/>
    </w:pPr>
    <w:rPr>
      <w:rFonts w:hint="eastAsia" w:ascii="宋体" w:hAnsi="宋体"/>
      <w:kern w:val="0"/>
      <w:sz w:val="24"/>
    </w:rPr>
  </w:style>
  <w:style w:type="paragraph" w:styleId="10">
    <w:name w:val="annotation subject"/>
    <w:basedOn w:val="3"/>
    <w:next w:val="3"/>
    <w:link w:val="24"/>
    <w:autoRedefine/>
    <w:semiHidden/>
    <w:unhideWhenUsed/>
    <w:qFormat/>
    <w:uiPriority w:val="99"/>
    <w:rPr>
      <w:b/>
      <w:bCs/>
    </w:rPr>
  </w:style>
  <w:style w:type="table" w:styleId="12">
    <w:name w:val="Table Grid"/>
    <w:basedOn w:val="11"/>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autoRedefine/>
    <w:qFormat/>
    <w:uiPriority w:val="0"/>
    <w:rPr>
      <w:b/>
      <w:bCs/>
    </w:rPr>
  </w:style>
  <w:style w:type="character" w:styleId="15">
    <w:name w:val="annotation reference"/>
    <w:basedOn w:val="13"/>
    <w:autoRedefine/>
    <w:semiHidden/>
    <w:unhideWhenUsed/>
    <w:qFormat/>
    <w:uiPriority w:val="99"/>
    <w:rPr>
      <w:sz w:val="21"/>
      <w:szCs w:val="21"/>
    </w:rPr>
  </w:style>
  <w:style w:type="character" w:customStyle="1" w:styleId="16">
    <w:name w:val="页眉 字符"/>
    <w:basedOn w:val="13"/>
    <w:link w:val="7"/>
    <w:autoRedefine/>
    <w:qFormat/>
    <w:uiPriority w:val="0"/>
    <w:rPr>
      <w:sz w:val="18"/>
      <w:szCs w:val="18"/>
    </w:rPr>
  </w:style>
  <w:style w:type="character" w:customStyle="1" w:styleId="17">
    <w:name w:val="页脚 字符"/>
    <w:basedOn w:val="13"/>
    <w:link w:val="6"/>
    <w:autoRedefine/>
    <w:qFormat/>
    <w:uiPriority w:val="99"/>
    <w:rPr>
      <w:sz w:val="18"/>
      <w:szCs w:val="18"/>
    </w:rPr>
  </w:style>
  <w:style w:type="paragraph" w:styleId="18">
    <w:name w:val="List Paragraph"/>
    <w:basedOn w:val="1"/>
    <w:autoRedefine/>
    <w:qFormat/>
    <w:uiPriority w:val="99"/>
    <w:pPr>
      <w:ind w:firstLine="420" w:firstLineChars="200"/>
    </w:pPr>
  </w:style>
  <w:style w:type="paragraph" w:customStyle="1" w:styleId="19">
    <w:name w:val="t_alignc font_14"/>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0">
    <w:name w:val="MSG_EN_FONT_STYLE_NAME_TEMPLATE_ROLE_NUMBER MSG_EN_FONT_STYLE_NAME_BY_ROLE_TEXT 2_"/>
    <w:basedOn w:val="13"/>
    <w:link w:val="21"/>
    <w:autoRedefine/>
    <w:unhideWhenUsed/>
    <w:qFormat/>
    <w:locked/>
    <w:uiPriority w:val="99"/>
    <w:rPr>
      <w:rFonts w:ascii="PMingLiU" w:hAnsi="Times New Roman" w:eastAsia="PMingLiU" w:cs="Times New Roman"/>
      <w:color w:val="000000"/>
      <w:kern w:val="0"/>
      <w:sz w:val="32"/>
    </w:rPr>
  </w:style>
  <w:style w:type="paragraph" w:customStyle="1" w:styleId="21">
    <w:name w:val="MSG_EN_FONT_STYLE_NAME_TEMPLATE_ROLE_NUMBER MSG_EN_FONT_STYLE_NAME_BY_ROLE_TEXT 2"/>
    <w:basedOn w:val="1"/>
    <w:link w:val="20"/>
    <w:autoRedefine/>
    <w:unhideWhenUsed/>
    <w:qFormat/>
    <w:uiPriority w:val="99"/>
    <w:pPr>
      <w:shd w:val="clear" w:color="auto" w:fill="FFFFFF"/>
      <w:spacing w:line="454" w:lineRule="exact"/>
      <w:ind w:firstLine="680"/>
      <w:jc w:val="left"/>
    </w:pPr>
    <w:rPr>
      <w:rFonts w:ascii="PMingLiU" w:hAnsi="Times New Roman" w:eastAsia="PMingLiU" w:cs="Times New Roman"/>
      <w:color w:val="000000"/>
      <w:kern w:val="0"/>
      <w:sz w:val="32"/>
    </w:rPr>
  </w:style>
  <w:style w:type="character" w:customStyle="1" w:styleId="22">
    <w:name w:val="批注框文本 字符"/>
    <w:basedOn w:val="13"/>
    <w:link w:val="5"/>
    <w:autoRedefine/>
    <w:semiHidden/>
    <w:qFormat/>
    <w:uiPriority w:val="99"/>
    <w:rPr>
      <w:rFonts w:asciiTheme="minorHAnsi" w:hAnsiTheme="minorHAnsi" w:eastAsiaTheme="minorEastAsia" w:cstheme="minorBidi"/>
      <w:kern w:val="2"/>
      <w:sz w:val="18"/>
      <w:szCs w:val="18"/>
    </w:rPr>
  </w:style>
  <w:style w:type="character" w:customStyle="1" w:styleId="23">
    <w:name w:val="批注文字 字符"/>
    <w:basedOn w:val="13"/>
    <w:link w:val="3"/>
    <w:autoRedefine/>
    <w:semiHidden/>
    <w:qFormat/>
    <w:uiPriority w:val="99"/>
    <w:rPr>
      <w:rFonts w:asciiTheme="minorHAnsi" w:hAnsiTheme="minorHAnsi" w:eastAsiaTheme="minorEastAsia" w:cstheme="minorBidi"/>
      <w:kern w:val="2"/>
      <w:sz w:val="21"/>
      <w:szCs w:val="22"/>
    </w:rPr>
  </w:style>
  <w:style w:type="character" w:customStyle="1" w:styleId="24">
    <w:name w:val="批注主题 字符"/>
    <w:basedOn w:val="23"/>
    <w:link w:val="10"/>
    <w:autoRedefine/>
    <w:semiHidden/>
    <w:qFormat/>
    <w:uiPriority w:val="99"/>
    <w:rPr>
      <w:rFonts w:asciiTheme="minorHAnsi" w:hAnsiTheme="minorHAnsi" w:eastAsiaTheme="minorEastAsia" w:cstheme="minorBidi"/>
      <w:b/>
      <w:bCs/>
      <w:kern w:val="2"/>
      <w:sz w:val="21"/>
      <w:szCs w:val="22"/>
    </w:rPr>
  </w:style>
  <w:style w:type="character" w:customStyle="1" w:styleId="25">
    <w:name w:val="日期 字符"/>
    <w:basedOn w:val="13"/>
    <w:link w:val="4"/>
    <w:autoRedefine/>
    <w:semiHidden/>
    <w:qFormat/>
    <w:uiPriority w:val="99"/>
    <w:rPr>
      <w:rFonts w:asciiTheme="minorHAnsi" w:hAnsiTheme="minorHAnsi" w:eastAsiaTheme="minorEastAsia" w:cstheme="minorBidi"/>
      <w:kern w:val="2"/>
      <w:sz w:val="21"/>
      <w:szCs w:val="22"/>
    </w:rPr>
  </w:style>
  <w:style w:type="character" w:customStyle="1" w:styleId="26">
    <w:name w:val="标题 1 字符"/>
    <w:basedOn w:val="13"/>
    <w:link w:val="2"/>
    <w:autoRedefine/>
    <w:qFormat/>
    <w:uiPriority w:val="9"/>
    <w:rPr>
      <w:rFonts w:asciiTheme="minorHAnsi" w:hAnsiTheme="minorHAnsi" w:eastAsiaTheme="minorEastAsia" w:cstheme="minorBidi"/>
      <w:b/>
      <w:bCs/>
      <w:kern w:val="44"/>
      <w:sz w:val="44"/>
      <w:szCs w:val="44"/>
    </w:rPr>
  </w:style>
  <w:style w:type="character" w:customStyle="1" w:styleId="27">
    <w:name w:val="副标题 字符"/>
    <w:basedOn w:val="13"/>
    <w:link w:val="8"/>
    <w:autoRedefine/>
    <w:qFormat/>
    <w:uiPriority w:val="0"/>
    <w:rPr>
      <w:rFonts w:ascii="Cambria" w:hAnsi="Cambria" w:eastAsiaTheme="minorEastAsia"/>
      <w:b/>
      <w:bCs/>
      <w:kern w:val="28"/>
      <w:sz w:val="36"/>
      <w:szCs w:val="32"/>
    </w:rPr>
  </w:style>
  <w:style w:type="paragraph" w:customStyle="1" w:styleId="28">
    <w:name w:val="大标题"/>
    <w:basedOn w:val="1"/>
    <w:autoRedefine/>
    <w:qFormat/>
    <w:uiPriority w:val="0"/>
    <w:pPr>
      <w:spacing w:after="100" w:afterAutospacing="1" w:line="520" w:lineRule="exact"/>
      <w:jc w:val="center"/>
      <w:outlineLvl w:val="0"/>
    </w:pPr>
    <w:rPr>
      <w:rFonts w:ascii="宋体" w:hAnsi="宋体" w:eastAsia="宋体" w:cs="宋体"/>
      <w:b/>
      <w:color w:val="000000" w:themeColor="text1"/>
      <w:sz w:val="44"/>
      <w:szCs w:val="44"/>
      <w14:textFill>
        <w14:solidFill>
          <w14:schemeClr w14:val="tx1"/>
        </w14:solidFill>
      </w14:textFill>
    </w:rPr>
  </w:style>
  <w:style w:type="paragraph" w:styleId="29">
    <w:name w:val="No Spacing"/>
    <w:autoRedefine/>
    <w:qFormat/>
    <w:uiPriority w:val="1"/>
    <w:pPr>
      <w:widowControl w:val="0"/>
      <w:ind w:left="525" w:leftChars="250"/>
      <w:jc w:val="both"/>
    </w:pPr>
    <w:rPr>
      <w:rFonts w:ascii="宋体" w:hAnsi="宋体" w:eastAsiaTheme="minorEastAsia" w:cstheme="minorBidi"/>
      <w:kern w:val="2"/>
      <w:sz w:val="28"/>
      <w:szCs w:val="28"/>
      <w:lang w:val="en-US" w:eastAsia="zh-CN" w:bidi="ar-SA"/>
    </w:rPr>
  </w:style>
  <w:style w:type="paragraph" w:customStyle="1" w:styleId="30">
    <w:name w:val="条文说明"/>
    <w:basedOn w:val="1"/>
    <w:autoRedefine/>
    <w:qFormat/>
    <w:uiPriority w:val="0"/>
    <w:pPr>
      <w:snapToGrid w:val="0"/>
      <w:ind w:firstLine="200"/>
    </w:pPr>
    <w:rPr>
      <w:rFonts w:eastAsia="楷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F03DAC-6A8F-4626-BA45-35BA8633D58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41</Pages>
  <Words>2585</Words>
  <Characters>14737</Characters>
  <Lines>122</Lines>
  <Paragraphs>34</Paragraphs>
  <TotalTime>143</TotalTime>
  <ScaleCrop>false</ScaleCrop>
  <LinksUpToDate>false</LinksUpToDate>
  <CharactersWithSpaces>17288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2024-01-02T07:20:00Z</dcterms:created>
  <dc:creator>Administrator</dc:creator>
  <cp:lastModifiedBy>白爽</cp:lastModifiedBy>
  <cp:lastPrinted>2022-05-27T07:40:00Z</cp:lastPrinted>
  <dcterms:modified xsi:type="dcterms:W3CDTF">2024-04-22T06:47:48Z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6D1F07769AC043D490E6220463E42D10_13</vt:lpwstr>
  </property>
</Properties>
</file>