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after="156" w:line="700" w:lineRule="exact"/>
        <w:outlineLvl w:val="1"/>
        <w:rPr>
          <w:rFonts w:ascii="宋体" w:hAnsi="宋体" w:eastAsia="宋体" w:cs="宋体"/>
          <w:b/>
          <w:bCs/>
          <w:color w:val="FF0000"/>
          <w:spacing w:val="-30"/>
          <w:sz w:val="52"/>
          <w:szCs w:val="52"/>
        </w:rPr>
      </w:pPr>
      <w:r>
        <w:rPr>
          <w:rFonts w:hint="eastAsia" w:ascii="宋体" w:hAnsi="宋体" w:eastAsia="宋体" w:cs="宋体"/>
          <w:b/>
          <w:bCs/>
          <w:color w:val="FF0000"/>
          <w:spacing w:val="-30"/>
          <w:sz w:val="52"/>
          <w:szCs w:val="52"/>
        </w:rPr>
        <w:t>北京市建设工程招标投标和造价管理协会</w:t>
      </w:r>
    </w:p>
    <w:p>
      <w:pPr>
        <w:keepNext/>
        <w:keepLines/>
        <w:spacing w:before="156" w:after="156" w:line="700" w:lineRule="exact"/>
        <w:ind w:firstLine="3234" w:firstLineChars="700"/>
        <w:outlineLvl w:val="1"/>
        <w:rPr>
          <w:rFonts w:ascii="仿宋" w:hAnsi="仿宋" w:eastAsia="仿宋" w:cs="Arial"/>
          <w:sz w:val="28"/>
          <w:szCs w:val="28"/>
        </w:rPr>
      </w:pPr>
      <w:r>
        <w:rPr>
          <w:rFonts w:hint="eastAsia" w:ascii="宋体" w:hAnsi="宋体" w:eastAsia="宋体" w:cs="宋体"/>
          <w:b/>
          <w:bCs/>
          <w:color w:val="FF0000"/>
          <w:spacing w:val="-30"/>
          <w:sz w:val="52"/>
          <w:szCs w:val="52"/>
        </w:rPr>
        <w:t>调解委员会</w:t>
      </w:r>
    </w:p>
    <w:p>
      <w:pPr>
        <w:widowControl/>
        <w:spacing w:line="360" w:lineRule="auto"/>
        <w:ind w:firstLine="420"/>
        <w:jc w:val="left"/>
        <w:rPr>
          <w:rFonts w:ascii="宋体" w:hAnsi="宋体"/>
          <w:b/>
          <w:sz w:val="36"/>
          <w:szCs w:val="36"/>
        </w:rPr>
      </w:pPr>
      <w:bookmarkStart w:id="0" w:name="_Hlk117170658"/>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182880</wp:posOffset>
                </wp:positionV>
                <wp:extent cx="6196330" cy="0"/>
                <wp:effectExtent l="0" t="15875" r="13970" b="22225"/>
                <wp:wrapNone/>
                <wp:docPr id="13" name="Line 2"/>
                <wp:cNvGraphicFramePr/>
                <a:graphic xmlns:a="http://schemas.openxmlformats.org/drawingml/2006/main">
                  <a:graphicData uri="http://schemas.microsoft.com/office/word/2010/wordprocessingShape">
                    <wps:wsp>
                      <wps:cNvCnPr>
                        <a:cxnSpLocks noChangeShapeType="1"/>
                      </wps:cNvCnPr>
                      <wps:spPr bwMode="auto">
                        <a:xfrm>
                          <a:off x="0" y="0"/>
                          <a:ext cx="6196330" cy="0"/>
                        </a:xfrm>
                        <a:prstGeom prst="line">
                          <a:avLst/>
                        </a:prstGeom>
                        <a:noFill/>
                        <a:ln w="31750">
                          <a:solidFill>
                            <a:srgbClr val="FF0000"/>
                          </a:solidFill>
                          <a:round/>
                        </a:ln>
                        <a:effectLst/>
                      </wps:spPr>
                      <wps:bodyPr/>
                    </wps:wsp>
                  </a:graphicData>
                </a:graphic>
              </wp:anchor>
            </w:drawing>
          </mc:Choice>
          <mc:Fallback>
            <w:pict>
              <v:line id="Line 2" o:spid="_x0000_s1026" o:spt="20" style="position:absolute;left:0pt;margin-top:14.4pt;height:0pt;width:487.9pt;mso-position-horizontal:center;z-index:251659264;mso-width-relative:page;mso-height-relative:page;" filled="f" stroked="t" coordsize="21600,21600" o:gfxdata="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Hm5efVAAAABgEAAA8AAAAAAAAAAQAgAAAAIgAA&#10;AGRycy9kb3ducmV2LnhtbFBLAQIUABQAAAAIAIdO4kDA78Po0gEAAK8DAAAOAAAAAAAAAAEAIAAA&#10;ACQBAABkcnMvZTJvRG9jLnhtbFBLBQYAAAAABgAGAFkBAABoBQAAAAA=&#10;">
                <v:fill on="f" focussize="0,0"/>
                <v:stroke weight="2.5pt" color="#FF0000" joinstyle="round"/>
                <v:imagedata o:title=""/>
                <o:lock v:ext="edit" aspectratio="f"/>
              </v:line>
            </w:pict>
          </mc:Fallback>
        </mc:AlternateContent>
      </w:r>
    </w:p>
    <w:bookmarkEnd w:id="0"/>
    <w:p>
      <w:pPr>
        <w:jc w:val="center"/>
        <w:rPr>
          <w:rFonts w:ascii="仿宋" w:hAnsi="仿宋" w:eastAsia="仿宋"/>
          <w:b/>
          <w:sz w:val="44"/>
          <w:szCs w:val="44"/>
        </w:rPr>
      </w:pPr>
      <w:r>
        <w:rPr>
          <w:rFonts w:hint="eastAsia" w:ascii="仿宋" w:hAnsi="仿宋" w:eastAsia="仿宋"/>
          <w:b/>
          <w:sz w:val="44"/>
          <w:szCs w:val="44"/>
        </w:rPr>
        <w:t>调解受理通知书</w:t>
      </w:r>
    </w:p>
    <w:p>
      <w:pPr>
        <w:ind w:firstLine="560"/>
        <w:jc w:val="right"/>
        <w:rPr>
          <w:rFonts w:ascii="仿宋" w:hAnsi="仿宋" w:eastAsia="仿宋"/>
          <w:sz w:val="28"/>
          <w:szCs w:val="28"/>
        </w:rPr>
      </w:pPr>
      <w:r>
        <w:rPr>
          <w:rFonts w:hint="eastAsia" w:ascii="仿宋" w:hAnsi="仿宋" w:eastAsia="仿宋" w:cs="Arial"/>
          <w:sz w:val="28"/>
          <w:szCs w:val="28"/>
        </w:rPr>
        <w:t xml:space="preserve"> </w:t>
      </w:r>
      <w:r>
        <w:rPr>
          <w:rFonts w:ascii="仿宋" w:hAnsi="仿宋" w:eastAsia="仿宋" w:cs="Arial"/>
          <w:sz w:val="28"/>
          <w:szCs w:val="28"/>
        </w:rPr>
        <w:t xml:space="preserve">                                 </w:t>
      </w:r>
      <w:r>
        <w:rPr>
          <w:rFonts w:hint="eastAsia" w:ascii="仿宋" w:hAnsi="仿宋" w:eastAsia="仿宋"/>
          <w:sz w:val="28"/>
          <w:szCs w:val="28"/>
        </w:rPr>
        <w:t>(202X)京标价调商XXX号</w:t>
      </w:r>
    </w:p>
    <w:p>
      <w:pPr>
        <w:spacing w:after="156"/>
        <w:rPr>
          <w:rFonts w:ascii="楷体" w:hAnsi="楷体" w:eastAsia="楷体" w:cs="楷体"/>
          <w:sz w:val="32"/>
          <w:szCs w:val="32"/>
        </w:rPr>
      </w:pPr>
      <w:r>
        <w:rPr>
          <w:rFonts w:hint="eastAsia" w:ascii="仿宋" w:hAnsi="仿宋" w:eastAsia="仿宋" w:cs="Arial"/>
          <w:sz w:val="32"/>
          <w:szCs w:val="32"/>
        </w:rPr>
        <w:t xml:space="preserve">申请人： </w:t>
      </w:r>
    </w:p>
    <w:p>
      <w:pPr>
        <w:spacing w:after="156"/>
        <w:rPr>
          <w:rFonts w:ascii="仿宋" w:hAnsi="仿宋" w:eastAsia="仿宋" w:cs="Arial"/>
          <w:sz w:val="32"/>
          <w:szCs w:val="32"/>
        </w:rPr>
      </w:pPr>
      <w:r>
        <w:rPr>
          <w:rFonts w:hint="eastAsia" w:ascii="仿宋" w:hAnsi="仿宋" w:eastAsia="仿宋" w:cs="Arial"/>
          <w:sz w:val="32"/>
          <w:szCs w:val="32"/>
        </w:rPr>
        <w:t>法定代表人：</w:t>
      </w:r>
    </w:p>
    <w:p>
      <w:pPr>
        <w:spacing w:after="156"/>
        <w:rPr>
          <w:rFonts w:ascii="仿宋" w:hAnsi="仿宋" w:eastAsia="仿宋" w:cs="Arial"/>
          <w:sz w:val="32"/>
          <w:szCs w:val="32"/>
        </w:rPr>
      </w:pPr>
      <w:r>
        <w:rPr>
          <w:rFonts w:hint="eastAsia" w:ascii="仿宋" w:hAnsi="仿宋" w:eastAsia="仿宋" w:cs="Arial"/>
          <w:sz w:val="32"/>
          <w:szCs w:val="32"/>
        </w:rPr>
        <w:t xml:space="preserve">被申请人： </w:t>
      </w:r>
    </w:p>
    <w:p>
      <w:pPr>
        <w:spacing w:after="156"/>
        <w:rPr>
          <w:rFonts w:ascii="仿宋" w:hAnsi="仿宋" w:eastAsia="仿宋" w:cs="Arial"/>
          <w:sz w:val="32"/>
          <w:szCs w:val="32"/>
        </w:rPr>
      </w:pPr>
      <w:r>
        <w:rPr>
          <w:rFonts w:hint="eastAsia" w:ascii="仿宋" w:hAnsi="仿宋" w:eastAsia="仿宋" w:cs="Arial"/>
          <w:sz w:val="32"/>
          <w:szCs w:val="32"/>
        </w:rPr>
        <w:t>法定代表人：</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北京市建设工程招标投标和造价管理协会调解委员会</w:t>
      </w:r>
      <w:r>
        <w:rPr>
          <w:rFonts w:hint="eastAsia" w:ascii="仿宋" w:hAnsi="仿宋" w:eastAsia="仿宋" w:cs="Arial"/>
          <w:sz w:val="32"/>
          <w:szCs w:val="32"/>
          <w:lang w:val="en-US" w:eastAsia="zh-CN"/>
        </w:rPr>
        <w:t xml:space="preserve"> </w:t>
      </w:r>
      <w:r>
        <w:rPr>
          <w:rFonts w:hint="eastAsia" w:ascii="仿宋" w:hAnsi="仿宋" w:eastAsia="仿宋" w:cs="Arial"/>
          <w:sz w:val="32"/>
          <w:szCs w:val="32"/>
        </w:rPr>
        <w:t>（简称调解委员会）于202X年XX月XX日受理申请人</w:t>
      </w:r>
      <w:r>
        <w:rPr>
          <w:rFonts w:hint="eastAsia" w:ascii="仿宋" w:hAnsi="仿宋" w:eastAsia="仿宋" w:cs="Arial"/>
          <w:sz w:val="32"/>
          <w:szCs w:val="32"/>
          <w:u w:val="single"/>
        </w:rPr>
        <w:t xml:space="preserve">          </w:t>
      </w:r>
      <w:r>
        <w:rPr>
          <w:rFonts w:hint="eastAsia" w:ascii="仿宋" w:hAnsi="仿宋" w:eastAsia="仿宋" w:cs="Arial"/>
          <w:sz w:val="32"/>
          <w:szCs w:val="32"/>
        </w:rPr>
        <w:t>（简称申请人）的申请，就其与被申请人</w:t>
      </w:r>
      <w:r>
        <w:rPr>
          <w:rFonts w:hint="eastAsia" w:ascii="仿宋" w:hAnsi="仿宋" w:eastAsia="仿宋" w:cs="Arial"/>
          <w:sz w:val="32"/>
          <w:szCs w:val="32"/>
          <w:u w:val="single"/>
        </w:rPr>
        <w:t xml:space="preserve">           </w:t>
      </w:r>
      <w:r>
        <w:rPr>
          <w:rFonts w:hint="eastAsia" w:ascii="仿宋" w:hAnsi="仿宋" w:eastAsia="仿宋" w:cs="Arial"/>
          <w:sz w:val="32"/>
          <w:szCs w:val="32"/>
        </w:rPr>
        <w:t>（简称被申请人）因</w:t>
      </w:r>
      <w:r>
        <w:rPr>
          <w:rFonts w:hint="eastAsia" w:ascii="仿宋" w:hAnsi="仿宋" w:eastAsia="仿宋" w:cs="Arial"/>
          <w:sz w:val="32"/>
          <w:szCs w:val="32"/>
          <w:u w:val="single"/>
        </w:rPr>
        <w:t xml:space="preserve">                </w:t>
      </w:r>
      <w:r>
        <w:rPr>
          <w:rFonts w:hint="eastAsia" w:ascii="仿宋" w:hAnsi="仿宋" w:eastAsia="仿宋" w:cs="Arial"/>
          <w:sz w:val="32"/>
          <w:szCs w:val="32"/>
        </w:rPr>
        <w:t>存在的争议进行调解，争议金额：</w:t>
      </w:r>
      <w:r>
        <w:rPr>
          <w:rFonts w:hint="eastAsia" w:ascii="仿宋" w:hAnsi="仿宋" w:eastAsia="仿宋" w:cs="Arial"/>
          <w:sz w:val="32"/>
          <w:szCs w:val="32"/>
          <w:u w:val="single"/>
        </w:rPr>
        <w:t xml:space="preserve">        </w:t>
      </w:r>
      <w:r>
        <w:rPr>
          <w:rFonts w:hint="eastAsia" w:ascii="仿宋" w:hAnsi="仿宋" w:eastAsia="仿宋" w:cs="Arial"/>
          <w:sz w:val="32"/>
          <w:szCs w:val="32"/>
        </w:rPr>
        <w:t>万元。现依据《最高人民法院关于人民法院进一步深化多元化纠纷解决机制改革的意见》、《北京市建设工程招标投标和造价管理协会调解委员会调解规则》（简称调解委员会调解规则）、《北京市建设工程招标投标和造价管理协会调解委员会调解案件调解费收费办法》（简称收费办法）《北京市建设工程招标投标和造价管理协会委员会调解委员会调解员报酬和专家咨询费管理办法》（简称调解员报酬和专家咨询费管理办法）的相关规定，在征求双方当事人同意的基础上，根据调解委员会调解规则规定启动调解程序。并将调解相关事项通知各方当事人如下：</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一、案件受理</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本案案号为（202X)京标价调商</w:t>
      </w:r>
      <w:r>
        <w:rPr>
          <w:rFonts w:hint="eastAsia" w:ascii="仿宋" w:hAnsi="仿宋" w:eastAsia="仿宋"/>
          <w:sz w:val="32"/>
          <w:szCs w:val="32"/>
        </w:rPr>
        <w:t>XXX</w:t>
      </w:r>
      <w:r>
        <w:rPr>
          <w:rFonts w:hint="eastAsia" w:ascii="仿宋" w:hAnsi="仿宋" w:eastAsia="仿宋" w:cs="Arial"/>
          <w:sz w:val="32"/>
          <w:szCs w:val="32"/>
        </w:rPr>
        <w:t>号。请当事人在向调解委员会提交的文件中注明本案案号。</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二、调解规则的适用</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本案调解适用调解委员会调解规则。</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三、调解员的选定</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1.本案调解选择</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名调解员进行调解。</w:t>
      </w:r>
    </w:p>
    <w:p>
      <w:pPr>
        <w:spacing w:after="156"/>
        <w:ind w:firstLine="640" w:firstLineChars="200"/>
        <w:rPr>
          <w:rFonts w:ascii="仿宋" w:hAnsi="仿宋" w:eastAsia="仿宋" w:cs="Arial"/>
          <w:sz w:val="32"/>
          <w:szCs w:val="32"/>
          <w:u w:val="single"/>
        </w:rPr>
      </w:pPr>
      <w:r>
        <w:rPr>
          <w:rFonts w:hint="eastAsia" w:ascii="仿宋" w:hAnsi="仿宋" w:eastAsia="仿宋" w:cs="Arial"/>
          <w:sz w:val="32"/>
          <w:szCs w:val="32"/>
        </w:rPr>
        <w:t>2.鉴于本案法律关系性质和特征，并从本案调解所涉及相关法律专业和有利于调解等综合因素考虑，调解委员会特向当事人各方推荐</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     、      </w:t>
      </w:r>
      <w:r>
        <w:rPr>
          <w:rFonts w:hint="eastAsia" w:ascii="仿宋" w:hAnsi="仿宋" w:eastAsia="仿宋" w:cs="Arial"/>
          <w:sz w:val="32"/>
          <w:szCs w:val="32"/>
        </w:rPr>
        <w:t>担任本案调解员，其中</w:t>
      </w:r>
      <w:r>
        <w:rPr>
          <w:rFonts w:hint="eastAsia" w:ascii="仿宋" w:hAnsi="仿宋" w:eastAsia="仿宋" w:cs="Arial"/>
          <w:sz w:val="32"/>
          <w:szCs w:val="32"/>
          <w:u w:val="single"/>
        </w:rPr>
        <w:t xml:space="preserve">      </w:t>
      </w:r>
      <w:r>
        <w:rPr>
          <w:rFonts w:hint="eastAsia" w:ascii="仿宋" w:hAnsi="仿宋" w:eastAsia="仿宋" w:cs="Arial"/>
          <w:sz w:val="32"/>
          <w:szCs w:val="32"/>
        </w:rPr>
        <w:t>担任本案首席调解员。</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3.各方当事人应自收到本通知书等有关文件后3个工作日内向调解委员会提交经当事人分别签署的《调解员选定确认书》，也可电话、短信先予确认，开庭时补签。</w:t>
      </w:r>
    </w:p>
    <w:p>
      <w:pPr>
        <w:spacing w:after="156"/>
        <w:ind w:firstLine="640" w:firstLineChars="200"/>
        <w:rPr>
          <w:rFonts w:ascii="仿宋" w:hAnsi="仿宋" w:eastAsia="仿宋" w:cs="Arial"/>
          <w:sz w:val="32"/>
          <w:szCs w:val="32"/>
        </w:rPr>
      </w:pPr>
      <w:r>
        <w:rPr>
          <w:rFonts w:ascii="仿宋" w:hAnsi="仿宋" w:eastAsia="仿宋" w:cs="Arial"/>
          <w:sz w:val="32"/>
          <w:szCs w:val="32"/>
        </w:rPr>
        <w:t>4.</w:t>
      </w:r>
      <w:r>
        <w:rPr>
          <w:rFonts w:hint="eastAsia" w:ascii="仿宋" w:hAnsi="仿宋" w:eastAsia="仿宋" w:cs="Arial"/>
          <w:sz w:val="32"/>
          <w:szCs w:val="32"/>
        </w:rPr>
        <w:t>如本案任何一方当事人不接受调解委员会推荐的调解员</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，调解委员会可为其再次推荐或按照调解委员会调解规则相关规定确定调解员。</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四、身份证明及授权委托书</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遵照调解的保密原则，并根据调解委员会调解规则规定，本案纠纷调解全过程均采取不公开方式进行。为保证调解工作顺利进行，调解委员会特向当事人及当事人的代理人提出如下要求：</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1.当事人参与本案调解活动，企业或单位须提交营业执照副本复印件一份、法定代表人身份证明原件一份、法定代表人提交个人有效身份证（正、反两面）复印件一份；公民须提交个人身份证(正、反面)复印件一份，上述材料于第一次调解庭前提交。</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2.当事人的代理人参与本案调解活动，须向调解委员会提交当事人授权委托书原件一份，公民代理须提交有效身份证明（正、反面）复印件一份，律师代理须提交律师事务所函，于第一次调解庭前提交。</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3.证据材料一式3份。</w:t>
      </w:r>
    </w:p>
    <w:p>
      <w:pPr>
        <w:spacing w:after="156"/>
        <w:rPr>
          <w:rFonts w:ascii="仿宋" w:hAnsi="仿宋" w:eastAsia="仿宋" w:cs="Arial"/>
          <w:sz w:val="32"/>
          <w:szCs w:val="32"/>
        </w:rPr>
      </w:pPr>
      <w:r>
        <w:rPr>
          <w:rFonts w:hint="eastAsia" w:ascii="仿宋" w:hAnsi="仿宋" w:eastAsia="仿宋" w:cs="Arial"/>
          <w:sz w:val="32"/>
          <w:szCs w:val="32"/>
        </w:rPr>
        <w:t>五、本案经办秘书</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调解委员会已指定</w:t>
      </w:r>
      <w:r>
        <w:rPr>
          <w:rFonts w:ascii="仿宋" w:hAnsi="仿宋" w:eastAsia="仿宋" w:cs="Arial"/>
          <w:sz w:val="32"/>
          <w:szCs w:val="32"/>
          <w:u w:val="single"/>
        </w:rPr>
        <w:t xml:space="preserve">      </w:t>
      </w:r>
      <w:r>
        <w:rPr>
          <w:rFonts w:hint="eastAsia" w:ascii="仿宋" w:hAnsi="仿宋" w:eastAsia="仿宋" w:cs="Arial"/>
          <w:sz w:val="32"/>
          <w:szCs w:val="32"/>
        </w:rPr>
        <w:t>女士/先生协助本案的程序管理工作，其联系电话为</w:t>
      </w:r>
      <w:r>
        <w:rPr>
          <w:rFonts w:hint="eastAsia" w:ascii="仿宋" w:hAnsi="仿宋" w:eastAsia="仿宋" w:cs="Arial"/>
          <w:sz w:val="32"/>
          <w:szCs w:val="32"/>
          <w:u w:val="single"/>
        </w:rPr>
        <w:t xml:space="preserve">：           </w:t>
      </w:r>
      <w:r>
        <w:rPr>
          <w:rFonts w:hint="eastAsia" w:ascii="仿宋" w:hAnsi="仿宋" w:eastAsia="仿宋" w:cs="Arial"/>
          <w:sz w:val="32"/>
          <w:szCs w:val="32"/>
        </w:rPr>
        <w:t xml:space="preserve">。  </w:t>
      </w:r>
    </w:p>
    <w:p>
      <w:pPr>
        <w:spacing w:after="156"/>
        <w:rPr>
          <w:rFonts w:ascii="仿宋" w:hAnsi="仿宋" w:eastAsia="仿宋" w:cs="Arial"/>
          <w:sz w:val="32"/>
          <w:szCs w:val="32"/>
        </w:rPr>
      </w:pPr>
      <w:r>
        <w:rPr>
          <w:rFonts w:hint="eastAsia" w:ascii="仿宋" w:hAnsi="仿宋" w:eastAsia="仿宋" w:cs="Arial"/>
          <w:sz w:val="32"/>
          <w:szCs w:val="32"/>
        </w:rPr>
        <w:t>六、调解费用收取</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1.收费金额</w:t>
      </w:r>
    </w:p>
    <w:p>
      <w:pPr>
        <w:spacing w:after="156"/>
        <w:ind w:firstLine="476" w:firstLineChars="149"/>
        <w:rPr>
          <w:rFonts w:ascii="仿宋" w:hAnsi="仿宋" w:eastAsia="仿宋" w:cs="Arial"/>
          <w:sz w:val="32"/>
          <w:szCs w:val="32"/>
        </w:rPr>
      </w:pPr>
      <w:r>
        <w:rPr>
          <w:rFonts w:hint="eastAsia" w:ascii="仿宋" w:hAnsi="仿宋" w:eastAsia="仿宋" w:cs="Arial"/>
          <w:sz w:val="32"/>
          <w:szCs w:val="32"/>
        </w:rPr>
        <w:t>依据收费办法并经调解委员会研究决定，本次调解预收受理费</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rPr>
        <w:t>元（大写金额：</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 xml:space="preserve">）。预收案件处理费 </w:t>
      </w:r>
      <w:r>
        <w:rPr>
          <w:rFonts w:hint="eastAsia" w:ascii="仿宋" w:hAnsi="仿宋" w:eastAsia="仿宋" w:cs="Arial"/>
          <w:sz w:val="32"/>
          <w:szCs w:val="32"/>
          <w:u w:val="single"/>
        </w:rPr>
        <w:t xml:space="preserve">  </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元（大写金额：</w:t>
      </w:r>
      <w:r>
        <w:rPr>
          <w:rFonts w:hint="eastAsia" w:ascii="仿宋" w:hAnsi="仿宋" w:eastAsia="仿宋" w:cs="Arial"/>
          <w:sz w:val="32"/>
          <w:szCs w:val="32"/>
          <w:u w:val="single"/>
        </w:rPr>
        <w:t xml:space="preserve">       </w:t>
      </w:r>
      <w:r>
        <w:rPr>
          <w:rFonts w:hint="eastAsia" w:ascii="仿宋" w:hAnsi="仿宋" w:eastAsia="仿宋" w:cs="Arial"/>
          <w:sz w:val="32"/>
          <w:szCs w:val="32"/>
        </w:rPr>
        <w:t>），总计金额</w:t>
      </w:r>
      <w:r>
        <w:rPr>
          <w:rFonts w:hint="eastAsia" w:ascii="仿宋" w:hAnsi="仿宋" w:eastAsia="仿宋" w:cs="Arial"/>
          <w:sz w:val="32"/>
          <w:szCs w:val="32"/>
          <w:u w:val="single"/>
        </w:rPr>
        <w:t xml:space="preserve">       </w:t>
      </w:r>
      <w:r>
        <w:rPr>
          <w:rFonts w:hint="eastAsia" w:ascii="仿宋" w:hAnsi="仿宋" w:eastAsia="仿宋" w:cs="Arial"/>
          <w:sz w:val="32"/>
          <w:szCs w:val="32"/>
        </w:rPr>
        <w:t>元（大写金额：</w:t>
      </w:r>
      <w:r>
        <w:rPr>
          <w:rFonts w:ascii="仿宋" w:hAnsi="仿宋" w:eastAsia="仿宋" w:cs="Arial"/>
          <w:sz w:val="32"/>
          <w:szCs w:val="32"/>
          <w:u w:val="single"/>
        </w:rPr>
        <w:t xml:space="preserve">         </w:t>
      </w:r>
      <w:r>
        <w:rPr>
          <w:rFonts w:hint="eastAsia" w:ascii="仿宋" w:hAnsi="仿宋" w:eastAsia="仿宋" w:cs="Arial"/>
          <w:sz w:val="32"/>
          <w:szCs w:val="32"/>
        </w:rPr>
        <w:t>）。</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2.收费方式</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当事人收到《调解受理通知书》的5个工作日内，按照收费办法规定将案件调解费以电子汇款的方式汇入如下账户：</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单位名称：北京市建设工程招标投标和造价管理协会</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开户行及账号：中国建设银行北京光明支行11001071200056003145</w:t>
      </w:r>
    </w:p>
    <w:p>
      <w:pPr>
        <w:spacing w:after="156"/>
        <w:ind w:firstLine="640" w:firstLineChars="200"/>
        <w:rPr>
          <w:rFonts w:ascii="仿宋" w:hAnsi="仿宋" w:eastAsia="仿宋" w:cs="Arial"/>
          <w:strike w:val="0"/>
          <w:color w:val="auto"/>
          <w:sz w:val="32"/>
          <w:szCs w:val="32"/>
        </w:rPr>
      </w:pPr>
      <w:r>
        <w:rPr>
          <w:rFonts w:hint="eastAsia" w:ascii="仿宋" w:hAnsi="仿宋" w:eastAsia="仿宋" w:cs="Arial"/>
          <w:sz w:val="32"/>
          <w:szCs w:val="32"/>
        </w:rPr>
        <w:t>调解委员会收到款后，向当事人开具收据。收据请认真保存，待调解工作结束后调解委员会收回收据</w:t>
      </w:r>
      <w:r>
        <w:rPr>
          <w:rFonts w:hint="eastAsia" w:ascii="仿宋" w:hAnsi="仿宋" w:eastAsia="仿宋" w:cs="Arial"/>
          <w:strike w:val="0"/>
          <w:dstrike w:val="0"/>
          <w:color w:val="auto"/>
          <w:sz w:val="32"/>
          <w:szCs w:val="32"/>
          <w:lang w:val="en-US" w:eastAsia="zh-CN"/>
        </w:rPr>
        <w:t>并进行如下处理：</w:t>
      </w:r>
    </w:p>
    <w:p>
      <w:pPr>
        <w:spacing w:after="156"/>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（1）调解成功后，由调解委员会向当事人开具相应金额发票。</w:t>
      </w:r>
    </w:p>
    <w:p>
      <w:pPr>
        <w:spacing w:after="156"/>
        <w:ind w:firstLine="640" w:firstLineChars="200"/>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（2）调解不成功，调解委员会根据收费办法及调解员报酬和专家咨询费管理办法等扣除应支付的调解员报酬和专家咨询费用及一定的调解委员会运行费用后退回剩余案件调解费用</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扣除部分开具相应金额发票。</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七、其他事项</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1.根据调解委员会调解规则规定，不公开审理的案件，当事人及其代理人、证人、翻译等均不得对外界透露本案实体和程序的有关情况。</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2.一方当事人恶意调解造成对方当事人调解费用支出的，对方当事人可以在诉讼中主张过错方承担相应民事责任。</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当事人共同恶意调解造成损害国家利益、社会公共利益或案外人利益的，当事人须承担由此造成的不利法律后果。</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3.根据当事人向调解委员会移送的已提交的书面材料，本案应送达的所有文件，除当面递交外，调解委员会将按照下述收件人及地址送达：</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申请人收件人：</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地址：</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被申请人收件人：</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地址：</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在本案以后的调解过程中，如收件人及收件地址发生变更，当事人应及时通知调解委员会。</w:t>
      </w:r>
    </w:p>
    <w:p>
      <w:pPr>
        <w:keepNext w:val="0"/>
        <w:keepLines w:val="0"/>
        <w:pageBreakBefore w:val="0"/>
        <w:widowControl w:val="0"/>
        <w:kinsoku/>
        <w:wordWrap/>
        <w:overflowPunct/>
        <w:topLinePunct w:val="0"/>
        <w:autoSpaceDE/>
        <w:autoSpaceDN/>
        <w:bidi w:val="0"/>
        <w:adjustRightInd/>
        <w:snapToGrid/>
        <w:spacing w:after="156"/>
        <w:ind w:firstLine="640" w:firstLineChars="200"/>
        <w:textAlignment w:val="auto"/>
        <w:rPr>
          <w:rFonts w:ascii="仿宋" w:hAnsi="仿宋" w:eastAsia="仿宋" w:cs="Arial"/>
          <w:sz w:val="32"/>
          <w:szCs w:val="32"/>
        </w:rPr>
      </w:pPr>
      <w:r>
        <w:rPr>
          <w:rFonts w:hint="eastAsia" w:ascii="仿宋" w:hAnsi="仿宋" w:eastAsia="仿宋" w:cs="Arial"/>
          <w:sz w:val="32"/>
          <w:szCs w:val="32"/>
        </w:rPr>
        <w:t>调解委员会致力于为平等主体之间的合同和其他财产权益纠纷提供中立、专业、高效的争议解决服务。当事人各方将在调解员的主持和行业专家的参与下就争议事项进行磋商。当事人各方、调解员及专家在调解程序中的任何陈述、意见、观点或建议，以及书面材料均不得用于之后的仲裁程序、司法程序或者其他任何程序。调解委员会期待着在今后的调解过程中为当事人各方提供及时、良好、有效的服务，亦希望当事人各方诚信合作，尽早妥善解决本案争议。</w:t>
      </w:r>
    </w:p>
    <w:p>
      <w:pPr>
        <w:spacing w:after="156"/>
        <w:ind w:firstLine="640" w:firstLineChars="200"/>
        <w:rPr>
          <w:rFonts w:ascii="仿宋" w:hAnsi="仿宋" w:eastAsia="仿宋" w:cs="Arial"/>
          <w:sz w:val="32"/>
          <w:szCs w:val="32"/>
        </w:rPr>
      </w:pPr>
      <w:r>
        <w:rPr>
          <w:rFonts w:hint="eastAsia" w:ascii="仿宋" w:hAnsi="仿宋" w:eastAsia="仿宋" w:cs="Arial"/>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left"/>
        <w:rPr>
          <w:rFonts w:ascii="仿宋" w:hAnsi="仿宋" w:eastAsia="仿宋" w:cs="仿宋"/>
          <w:sz w:val="32"/>
          <w:szCs w:val="32"/>
        </w:rPr>
      </w:pPr>
      <w:bookmarkStart w:id="1" w:name="_GoBack"/>
      <w:bookmarkEnd w:id="1"/>
    </w:p>
    <w:sectPr>
      <w:footerReference r:id="rId3" w:type="default"/>
      <w:footerReference r:id="rId4" w:type="even"/>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118905"/>
    </w:sdtPr>
    <w:sdtEndPr>
      <w:rPr>
        <w:sz w:val="24"/>
        <w:szCs w:val="24"/>
      </w:rPr>
    </w:sdtEndPr>
    <w:sdtContent>
      <w:p>
        <w:pPr>
          <w:pStyle w:val="6"/>
          <w:spacing w:before="120" w:after="120"/>
          <w:ind w:firstLine="360"/>
          <w:jc w:val="right"/>
          <w:rPr>
            <w:sz w:val="24"/>
            <w:szCs w:val="24"/>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0844329"/>
    </w:sdtPr>
    <w:sdtContent>
      <w:p>
        <w:pPr>
          <w:pStyle w:val="6"/>
          <w:spacing w:before="120" w:after="120"/>
          <w:ind w:firstLine="36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MzNhMzljYjdjNzNlYTAxM2IzMGIwMWRlODE0YmQifQ=="/>
  </w:docVars>
  <w:rsids>
    <w:rsidRoot w:val="007672B4"/>
    <w:rsid w:val="000125A0"/>
    <w:rsid w:val="00013150"/>
    <w:rsid w:val="00017B52"/>
    <w:rsid w:val="0002368F"/>
    <w:rsid w:val="00023A2E"/>
    <w:rsid w:val="000251B6"/>
    <w:rsid w:val="0002743C"/>
    <w:rsid w:val="00031AEB"/>
    <w:rsid w:val="00051F6D"/>
    <w:rsid w:val="00055CF9"/>
    <w:rsid w:val="0006260B"/>
    <w:rsid w:val="00067485"/>
    <w:rsid w:val="00067C0C"/>
    <w:rsid w:val="000718BE"/>
    <w:rsid w:val="0007614B"/>
    <w:rsid w:val="00081E49"/>
    <w:rsid w:val="00082024"/>
    <w:rsid w:val="00082907"/>
    <w:rsid w:val="000873CC"/>
    <w:rsid w:val="00093C1D"/>
    <w:rsid w:val="00097DB3"/>
    <w:rsid w:val="000A373F"/>
    <w:rsid w:val="000B187E"/>
    <w:rsid w:val="000B4FFC"/>
    <w:rsid w:val="000C7C65"/>
    <w:rsid w:val="000D478C"/>
    <w:rsid w:val="000E1A96"/>
    <w:rsid w:val="000F2D08"/>
    <w:rsid w:val="000F77C8"/>
    <w:rsid w:val="001049E4"/>
    <w:rsid w:val="00105398"/>
    <w:rsid w:val="001100EA"/>
    <w:rsid w:val="0011393D"/>
    <w:rsid w:val="00120336"/>
    <w:rsid w:val="00120CA6"/>
    <w:rsid w:val="00126D1A"/>
    <w:rsid w:val="00135539"/>
    <w:rsid w:val="00143209"/>
    <w:rsid w:val="0014349E"/>
    <w:rsid w:val="00143639"/>
    <w:rsid w:val="001474EA"/>
    <w:rsid w:val="00147B8A"/>
    <w:rsid w:val="00153CBD"/>
    <w:rsid w:val="0016394D"/>
    <w:rsid w:val="00164952"/>
    <w:rsid w:val="00167FFC"/>
    <w:rsid w:val="0017542C"/>
    <w:rsid w:val="001825D2"/>
    <w:rsid w:val="00191716"/>
    <w:rsid w:val="001B606C"/>
    <w:rsid w:val="001C36AB"/>
    <w:rsid w:val="001C387A"/>
    <w:rsid w:val="001D26B1"/>
    <w:rsid w:val="001D6F36"/>
    <w:rsid w:val="001E353C"/>
    <w:rsid w:val="001E612B"/>
    <w:rsid w:val="001E799F"/>
    <w:rsid w:val="001F3DDD"/>
    <w:rsid w:val="001F7CB5"/>
    <w:rsid w:val="002008C1"/>
    <w:rsid w:val="00200D02"/>
    <w:rsid w:val="00206819"/>
    <w:rsid w:val="002140B4"/>
    <w:rsid w:val="00215033"/>
    <w:rsid w:val="00216E49"/>
    <w:rsid w:val="0023056D"/>
    <w:rsid w:val="00232C32"/>
    <w:rsid w:val="00236590"/>
    <w:rsid w:val="002373A2"/>
    <w:rsid w:val="00237C0E"/>
    <w:rsid w:val="002409D9"/>
    <w:rsid w:val="00242A16"/>
    <w:rsid w:val="002430E0"/>
    <w:rsid w:val="00243B5E"/>
    <w:rsid w:val="002456A4"/>
    <w:rsid w:val="00250F0F"/>
    <w:rsid w:val="002516B5"/>
    <w:rsid w:val="00251C9B"/>
    <w:rsid w:val="00256B76"/>
    <w:rsid w:val="0026144C"/>
    <w:rsid w:val="002632CC"/>
    <w:rsid w:val="00263B78"/>
    <w:rsid w:val="00265118"/>
    <w:rsid w:val="00265A3A"/>
    <w:rsid w:val="002662AC"/>
    <w:rsid w:val="00270DE6"/>
    <w:rsid w:val="002758E6"/>
    <w:rsid w:val="002852AC"/>
    <w:rsid w:val="0028558C"/>
    <w:rsid w:val="002859B0"/>
    <w:rsid w:val="00294DBA"/>
    <w:rsid w:val="0029575A"/>
    <w:rsid w:val="002A1D47"/>
    <w:rsid w:val="002A4677"/>
    <w:rsid w:val="002B0288"/>
    <w:rsid w:val="002B22FC"/>
    <w:rsid w:val="002B4BE1"/>
    <w:rsid w:val="002B517E"/>
    <w:rsid w:val="002C4A22"/>
    <w:rsid w:val="002D0528"/>
    <w:rsid w:val="002E3175"/>
    <w:rsid w:val="002E3D3D"/>
    <w:rsid w:val="002F270C"/>
    <w:rsid w:val="002F31D2"/>
    <w:rsid w:val="002F5A22"/>
    <w:rsid w:val="002F7E26"/>
    <w:rsid w:val="0030435B"/>
    <w:rsid w:val="0031083E"/>
    <w:rsid w:val="0031692F"/>
    <w:rsid w:val="00322D66"/>
    <w:rsid w:val="003309CA"/>
    <w:rsid w:val="00335CA1"/>
    <w:rsid w:val="0033787C"/>
    <w:rsid w:val="00344687"/>
    <w:rsid w:val="00344DD0"/>
    <w:rsid w:val="00355706"/>
    <w:rsid w:val="00357A5A"/>
    <w:rsid w:val="0036489E"/>
    <w:rsid w:val="00365D18"/>
    <w:rsid w:val="0038416D"/>
    <w:rsid w:val="00387963"/>
    <w:rsid w:val="003917FC"/>
    <w:rsid w:val="00392608"/>
    <w:rsid w:val="00393F24"/>
    <w:rsid w:val="003A181E"/>
    <w:rsid w:val="003A2CA5"/>
    <w:rsid w:val="003A6D7D"/>
    <w:rsid w:val="003B0DDB"/>
    <w:rsid w:val="003B2C56"/>
    <w:rsid w:val="003C5F94"/>
    <w:rsid w:val="003C6CA6"/>
    <w:rsid w:val="003C7239"/>
    <w:rsid w:val="003E54BF"/>
    <w:rsid w:val="003E78BF"/>
    <w:rsid w:val="003F152B"/>
    <w:rsid w:val="003F3520"/>
    <w:rsid w:val="0040016B"/>
    <w:rsid w:val="004067B4"/>
    <w:rsid w:val="004502ED"/>
    <w:rsid w:val="00455ACA"/>
    <w:rsid w:val="00455EAA"/>
    <w:rsid w:val="00456586"/>
    <w:rsid w:val="00472CC2"/>
    <w:rsid w:val="0047335D"/>
    <w:rsid w:val="00473CBB"/>
    <w:rsid w:val="004770C5"/>
    <w:rsid w:val="00486E45"/>
    <w:rsid w:val="00492569"/>
    <w:rsid w:val="004B1427"/>
    <w:rsid w:val="004B2652"/>
    <w:rsid w:val="004B3281"/>
    <w:rsid w:val="004B4609"/>
    <w:rsid w:val="004B4D35"/>
    <w:rsid w:val="004C0287"/>
    <w:rsid w:val="004C3566"/>
    <w:rsid w:val="004C51FE"/>
    <w:rsid w:val="004C5752"/>
    <w:rsid w:val="004C6E86"/>
    <w:rsid w:val="004D03C1"/>
    <w:rsid w:val="004D0E67"/>
    <w:rsid w:val="004D25F2"/>
    <w:rsid w:val="004D6B9B"/>
    <w:rsid w:val="004E3B13"/>
    <w:rsid w:val="004F1542"/>
    <w:rsid w:val="004F1BF3"/>
    <w:rsid w:val="00502DB9"/>
    <w:rsid w:val="00502FD6"/>
    <w:rsid w:val="00517C09"/>
    <w:rsid w:val="005210C5"/>
    <w:rsid w:val="0052695A"/>
    <w:rsid w:val="00531C02"/>
    <w:rsid w:val="005371DD"/>
    <w:rsid w:val="00540DA6"/>
    <w:rsid w:val="00543CFD"/>
    <w:rsid w:val="00552146"/>
    <w:rsid w:val="00557FE0"/>
    <w:rsid w:val="005636DA"/>
    <w:rsid w:val="005654EE"/>
    <w:rsid w:val="00574A68"/>
    <w:rsid w:val="0057716C"/>
    <w:rsid w:val="00583F41"/>
    <w:rsid w:val="00591DB7"/>
    <w:rsid w:val="005974E3"/>
    <w:rsid w:val="005A0001"/>
    <w:rsid w:val="005A1951"/>
    <w:rsid w:val="005A33F2"/>
    <w:rsid w:val="005C0B38"/>
    <w:rsid w:val="005C5C68"/>
    <w:rsid w:val="005D39BE"/>
    <w:rsid w:val="005D4F39"/>
    <w:rsid w:val="005D6DBC"/>
    <w:rsid w:val="005D6FB2"/>
    <w:rsid w:val="005D71A1"/>
    <w:rsid w:val="005D7E83"/>
    <w:rsid w:val="005F51FC"/>
    <w:rsid w:val="005F5FAE"/>
    <w:rsid w:val="005F6978"/>
    <w:rsid w:val="00607073"/>
    <w:rsid w:val="00612B42"/>
    <w:rsid w:val="00615665"/>
    <w:rsid w:val="00621C27"/>
    <w:rsid w:val="006274DF"/>
    <w:rsid w:val="00632129"/>
    <w:rsid w:val="0063223D"/>
    <w:rsid w:val="006331F7"/>
    <w:rsid w:val="006357EA"/>
    <w:rsid w:val="00637117"/>
    <w:rsid w:val="00655639"/>
    <w:rsid w:val="006556C3"/>
    <w:rsid w:val="006568F5"/>
    <w:rsid w:val="00662C95"/>
    <w:rsid w:val="006730F9"/>
    <w:rsid w:val="006820E1"/>
    <w:rsid w:val="00686EB9"/>
    <w:rsid w:val="0069320C"/>
    <w:rsid w:val="0069440B"/>
    <w:rsid w:val="00695E8A"/>
    <w:rsid w:val="00696B6F"/>
    <w:rsid w:val="006A118A"/>
    <w:rsid w:val="006A3458"/>
    <w:rsid w:val="006A71C4"/>
    <w:rsid w:val="006B6934"/>
    <w:rsid w:val="006B72AB"/>
    <w:rsid w:val="006C48BD"/>
    <w:rsid w:val="006D00E7"/>
    <w:rsid w:val="006D0120"/>
    <w:rsid w:val="006D0153"/>
    <w:rsid w:val="006D0FC1"/>
    <w:rsid w:val="006D6721"/>
    <w:rsid w:val="006E25EC"/>
    <w:rsid w:val="006E5A25"/>
    <w:rsid w:val="00705062"/>
    <w:rsid w:val="0070536C"/>
    <w:rsid w:val="00706237"/>
    <w:rsid w:val="00711D9D"/>
    <w:rsid w:val="00712009"/>
    <w:rsid w:val="00713E2F"/>
    <w:rsid w:val="0072124A"/>
    <w:rsid w:val="00727FA6"/>
    <w:rsid w:val="007302D5"/>
    <w:rsid w:val="00742778"/>
    <w:rsid w:val="00750EB4"/>
    <w:rsid w:val="0075625D"/>
    <w:rsid w:val="00760FA6"/>
    <w:rsid w:val="00761660"/>
    <w:rsid w:val="00764BE2"/>
    <w:rsid w:val="00764FC0"/>
    <w:rsid w:val="007672B4"/>
    <w:rsid w:val="007717D5"/>
    <w:rsid w:val="00775348"/>
    <w:rsid w:val="00775B1B"/>
    <w:rsid w:val="00777EF8"/>
    <w:rsid w:val="00786163"/>
    <w:rsid w:val="0079707F"/>
    <w:rsid w:val="007A28C4"/>
    <w:rsid w:val="007A3AA1"/>
    <w:rsid w:val="007A4176"/>
    <w:rsid w:val="007B16BB"/>
    <w:rsid w:val="007C1915"/>
    <w:rsid w:val="007C5D56"/>
    <w:rsid w:val="007D30AD"/>
    <w:rsid w:val="007E06D0"/>
    <w:rsid w:val="007F04AE"/>
    <w:rsid w:val="008035A2"/>
    <w:rsid w:val="00803A43"/>
    <w:rsid w:val="0080405C"/>
    <w:rsid w:val="008068CB"/>
    <w:rsid w:val="00807F58"/>
    <w:rsid w:val="00817E6F"/>
    <w:rsid w:val="008219BB"/>
    <w:rsid w:val="008373B7"/>
    <w:rsid w:val="00843301"/>
    <w:rsid w:val="00861E08"/>
    <w:rsid w:val="008620EE"/>
    <w:rsid w:val="00864A22"/>
    <w:rsid w:val="008812D4"/>
    <w:rsid w:val="00881D76"/>
    <w:rsid w:val="00881DEE"/>
    <w:rsid w:val="00894A7D"/>
    <w:rsid w:val="00895DD0"/>
    <w:rsid w:val="008A4E5F"/>
    <w:rsid w:val="008A6B7D"/>
    <w:rsid w:val="008A76C7"/>
    <w:rsid w:val="008B3D7A"/>
    <w:rsid w:val="008B6513"/>
    <w:rsid w:val="008C107D"/>
    <w:rsid w:val="008C4E14"/>
    <w:rsid w:val="008D052F"/>
    <w:rsid w:val="008D2085"/>
    <w:rsid w:val="008D25BB"/>
    <w:rsid w:val="008D79D7"/>
    <w:rsid w:val="008F19B3"/>
    <w:rsid w:val="008F424F"/>
    <w:rsid w:val="008F4553"/>
    <w:rsid w:val="008F71B3"/>
    <w:rsid w:val="00907AEC"/>
    <w:rsid w:val="00916CDD"/>
    <w:rsid w:val="00920ED8"/>
    <w:rsid w:val="009218D0"/>
    <w:rsid w:val="00921B95"/>
    <w:rsid w:val="009250E5"/>
    <w:rsid w:val="00937F4B"/>
    <w:rsid w:val="0094219C"/>
    <w:rsid w:val="00945B9D"/>
    <w:rsid w:val="009524C0"/>
    <w:rsid w:val="009720A6"/>
    <w:rsid w:val="009728EC"/>
    <w:rsid w:val="00975AFB"/>
    <w:rsid w:val="00986916"/>
    <w:rsid w:val="009A377F"/>
    <w:rsid w:val="009B0208"/>
    <w:rsid w:val="009B1D53"/>
    <w:rsid w:val="009B36E6"/>
    <w:rsid w:val="009B6975"/>
    <w:rsid w:val="009C5A3B"/>
    <w:rsid w:val="009C67EA"/>
    <w:rsid w:val="009D08AF"/>
    <w:rsid w:val="009D3E3B"/>
    <w:rsid w:val="009D54FE"/>
    <w:rsid w:val="009D743D"/>
    <w:rsid w:val="009D7ABC"/>
    <w:rsid w:val="009E2875"/>
    <w:rsid w:val="009E2E68"/>
    <w:rsid w:val="009E4B14"/>
    <w:rsid w:val="009E5542"/>
    <w:rsid w:val="009F1081"/>
    <w:rsid w:val="009F5324"/>
    <w:rsid w:val="00A10063"/>
    <w:rsid w:val="00A109CC"/>
    <w:rsid w:val="00A11FE9"/>
    <w:rsid w:val="00A22661"/>
    <w:rsid w:val="00A4513C"/>
    <w:rsid w:val="00A54B2B"/>
    <w:rsid w:val="00A55A83"/>
    <w:rsid w:val="00A65EC0"/>
    <w:rsid w:val="00A67B4F"/>
    <w:rsid w:val="00A73480"/>
    <w:rsid w:val="00A75F5E"/>
    <w:rsid w:val="00A7777D"/>
    <w:rsid w:val="00A827DF"/>
    <w:rsid w:val="00A8610A"/>
    <w:rsid w:val="00A878F1"/>
    <w:rsid w:val="00A87D0A"/>
    <w:rsid w:val="00A90C06"/>
    <w:rsid w:val="00AC2293"/>
    <w:rsid w:val="00AC2C92"/>
    <w:rsid w:val="00AC3831"/>
    <w:rsid w:val="00AD24BB"/>
    <w:rsid w:val="00AD62D6"/>
    <w:rsid w:val="00AE0524"/>
    <w:rsid w:val="00AE497F"/>
    <w:rsid w:val="00AF2341"/>
    <w:rsid w:val="00AF6044"/>
    <w:rsid w:val="00B130F1"/>
    <w:rsid w:val="00B14008"/>
    <w:rsid w:val="00B21A03"/>
    <w:rsid w:val="00B21FA4"/>
    <w:rsid w:val="00B23191"/>
    <w:rsid w:val="00B259A1"/>
    <w:rsid w:val="00B30384"/>
    <w:rsid w:val="00B304FD"/>
    <w:rsid w:val="00B404ED"/>
    <w:rsid w:val="00B41F0D"/>
    <w:rsid w:val="00B4210F"/>
    <w:rsid w:val="00B44939"/>
    <w:rsid w:val="00B44B67"/>
    <w:rsid w:val="00B47253"/>
    <w:rsid w:val="00B65E04"/>
    <w:rsid w:val="00B71988"/>
    <w:rsid w:val="00B75B7C"/>
    <w:rsid w:val="00B7753E"/>
    <w:rsid w:val="00B85279"/>
    <w:rsid w:val="00B915F4"/>
    <w:rsid w:val="00B91768"/>
    <w:rsid w:val="00B94E19"/>
    <w:rsid w:val="00B963DF"/>
    <w:rsid w:val="00BA4B8B"/>
    <w:rsid w:val="00BB056D"/>
    <w:rsid w:val="00BB27C2"/>
    <w:rsid w:val="00BB736A"/>
    <w:rsid w:val="00BC405A"/>
    <w:rsid w:val="00BC4459"/>
    <w:rsid w:val="00BC7415"/>
    <w:rsid w:val="00BE3340"/>
    <w:rsid w:val="00BE67E3"/>
    <w:rsid w:val="00BF0574"/>
    <w:rsid w:val="00BF2C76"/>
    <w:rsid w:val="00BF45BB"/>
    <w:rsid w:val="00BF5831"/>
    <w:rsid w:val="00BF7211"/>
    <w:rsid w:val="00C00EF9"/>
    <w:rsid w:val="00C048AC"/>
    <w:rsid w:val="00C05272"/>
    <w:rsid w:val="00C1352F"/>
    <w:rsid w:val="00C135A5"/>
    <w:rsid w:val="00C13C4A"/>
    <w:rsid w:val="00C13F19"/>
    <w:rsid w:val="00C21AB8"/>
    <w:rsid w:val="00C222D6"/>
    <w:rsid w:val="00C2411B"/>
    <w:rsid w:val="00C275B3"/>
    <w:rsid w:val="00C27D23"/>
    <w:rsid w:val="00C36A01"/>
    <w:rsid w:val="00C40CDF"/>
    <w:rsid w:val="00C40FD1"/>
    <w:rsid w:val="00C41241"/>
    <w:rsid w:val="00C41D2A"/>
    <w:rsid w:val="00C42C62"/>
    <w:rsid w:val="00C477E5"/>
    <w:rsid w:val="00C60E26"/>
    <w:rsid w:val="00C64D3C"/>
    <w:rsid w:val="00C66560"/>
    <w:rsid w:val="00C7222F"/>
    <w:rsid w:val="00C740D3"/>
    <w:rsid w:val="00C7609E"/>
    <w:rsid w:val="00C77F51"/>
    <w:rsid w:val="00C82E41"/>
    <w:rsid w:val="00CB1977"/>
    <w:rsid w:val="00CB3184"/>
    <w:rsid w:val="00CB3EC3"/>
    <w:rsid w:val="00CB4900"/>
    <w:rsid w:val="00CB4FD6"/>
    <w:rsid w:val="00CB7E86"/>
    <w:rsid w:val="00CC1C9E"/>
    <w:rsid w:val="00CC449D"/>
    <w:rsid w:val="00CC6DAC"/>
    <w:rsid w:val="00CD05FE"/>
    <w:rsid w:val="00CD0D1D"/>
    <w:rsid w:val="00CD10F6"/>
    <w:rsid w:val="00CD1E1F"/>
    <w:rsid w:val="00CD6D22"/>
    <w:rsid w:val="00CD7DEF"/>
    <w:rsid w:val="00CE22B2"/>
    <w:rsid w:val="00CE67D9"/>
    <w:rsid w:val="00CE6D68"/>
    <w:rsid w:val="00CF3D9A"/>
    <w:rsid w:val="00CF5E48"/>
    <w:rsid w:val="00CF7F83"/>
    <w:rsid w:val="00D03F1E"/>
    <w:rsid w:val="00D043F9"/>
    <w:rsid w:val="00D11770"/>
    <w:rsid w:val="00D1284A"/>
    <w:rsid w:val="00D1330B"/>
    <w:rsid w:val="00D158F2"/>
    <w:rsid w:val="00D2374A"/>
    <w:rsid w:val="00D23F80"/>
    <w:rsid w:val="00D2443C"/>
    <w:rsid w:val="00D34583"/>
    <w:rsid w:val="00D354F5"/>
    <w:rsid w:val="00D47E50"/>
    <w:rsid w:val="00D5056A"/>
    <w:rsid w:val="00D50867"/>
    <w:rsid w:val="00D529EA"/>
    <w:rsid w:val="00D60248"/>
    <w:rsid w:val="00D76F10"/>
    <w:rsid w:val="00D92EDE"/>
    <w:rsid w:val="00D94F05"/>
    <w:rsid w:val="00DA6D22"/>
    <w:rsid w:val="00DC0736"/>
    <w:rsid w:val="00DC5C53"/>
    <w:rsid w:val="00DC6740"/>
    <w:rsid w:val="00DD2CF8"/>
    <w:rsid w:val="00DD64C6"/>
    <w:rsid w:val="00DD79A0"/>
    <w:rsid w:val="00DE2AA4"/>
    <w:rsid w:val="00DF186A"/>
    <w:rsid w:val="00DF259A"/>
    <w:rsid w:val="00DF3DC4"/>
    <w:rsid w:val="00DF4483"/>
    <w:rsid w:val="00DF6625"/>
    <w:rsid w:val="00DF7592"/>
    <w:rsid w:val="00E115E1"/>
    <w:rsid w:val="00E14513"/>
    <w:rsid w:val="00E27A20"/>
    <w:rsid w:val="00E33C6C"/>
    <w:rsid w:val="00E3438B"/>
    <w:rsid w:val="00E40D85"/>
    <w:rsid w:val="00E4134E"/>
    <w:rsid w:val="00E55292"/>
    <w:rsid w:val="00E5759E"/>
    <w:rsid w:val="00E66219"/>
    <w:rsid w:val="00E7038F"/>
    <w:rsid w:val="00E710FF"/>
    <w:rsid w:val="00E73417"/>
    <w:rsid w:val="00E917BD"/>
    <w:rsid w:val="00E963A6"/>
    <w:rsid w:val="00E97970"/>
    <w:rsid w:val="00EA0D33"/>
    <w:rsid w:val="00EA5B6E"/>
    <w:rsid w:val="00EB5FAE"/>
    <w:rsid w:val="00EB70B9"/>
    <w:rsid w:val="00EC0677"/>
    <w:rsid w:val="00EC5801"/>
    <w:rsid w:val="00EC669E"/>
    <w:rsid w:val="00EC6D28"/>
    <w:rsid w:val="00ED0F30"/>
    <w:rsid w:val="00ED286B"/>
    <w:rsid w:val="00ED5FFC"/>
    <w:rsid w:val="00ED711D"/>
    <w:rsid w:val="00ED71EF"/>
    <w:rsid w:val="00EE026A"/>
    <w:rsid w:val="00EE3CB2"/>
    <w:rsid w:val="00EF2915"/>
    <w:rsid w:val="00EF5386"/>
    <w:rsid w:val="00EF5F86"/>
    <w:rsid w:val="00F06C73"/>
    <w:rsid w:val="00F10827"/>
    <w:rsid w:val="00F1331A"/>
    <w:rsid w:val="00F142B5"/>
    <w:rsid w:val="00F16380"/>
    <w:rsid w:val="00F17A9A"/>
    <w:rsid w:val="00F21F96"/>
    <w:rsid w:val="00F2755C"/>
    <w:rsid w:val="00F31397"/>
    <w:rsid w:val="00F31EF7"/>
    <w:rsid w:val="00F42892"/>
    <w:rsid w:val="00F447D6"/>
    <w:rsid w:val="00F468E0"/>
    <w:rsid w:val="00F5034D"/>
    <w:rsid w:val="00F51F36"/>
    <w:rsid w:val="00F52990"/>
    <w:rsid w:val="00F54859"/>
    <w:rsid w:val="00F574CE"/>
    <w:rsid w:val="00F63B2D"/>
    <w:rsid w:val="00F66E25"/>
    <w:rsid w:val="00F76BEA"/>
    <w:rsid w:val="00F827E2"/>
    <w:rsid w:val="00F9232A"/>
    <w:rsid w:val="00F94CBF"/>
    <w:rsid w:val="00FB7E03"/>
    <w:rsid w:val="00FC2851"/>
    <w:rsid w:val="00FC43F2"/>
    <w:rsid w:val="00FC57D5"/>
    <w:rsid w:val="00FC6EC4"/>
    <w:rsid w:val="00FD25B3"/>
    <w:rsid w:val="00FE79A6"/>
    <w:rsid w:val="00FF3637"/>
    <w:rsid w:val="00FF5831"/>
    <w:rsid w:val="01203C45"/>
    <w:rsid w:val="01C61C88"/>
    <w:rsid w:val="01E50D53"/>
    <w:rsid w:val="02106940"/>
    <w:rsid w:val="026D75F1"/>
    <w:rsid w:val="049726D9"/>
    <w:rsid w:val="04CD61FB"/>
    <w:rsid w:val="04E739A8"/>
    <w:rsid w:val="05B80C59"/>
    <w:rsid w:val="07224C2D"/>
    <w:rsid w:val="07813880"/>
    <w:rsid w:val="07B15BA0"/>
    <w:rsid w:val="097F5C24"/>
    <w:rsid w:val="0AA006ED"/>
    <w:rsid w:val="0AF3751F"/>
    <w:rsid w:val="0B283CAA"/>
    <w:rsid w:val="0C126DC0"/>
    <w:rsid w:val="0C4D19CF"/>
    <w:rsid w:val="0C993163"/>
    <w:rsid w:val="0C9F50A5"/>
    <w:rsid w:val="0D7116ED"/>
    <w:rsid w:val="0DFF0278"/>
    <w:rsid w:val="0EC868B9"/>
    <w:rsid w:val="0F45647D"/>
    <w:rsid w:val="0F661753"/>
    <w:rsid w:val="108B2B76"/>
    <w:rsid w:val="10E20CD5"/>
    <w:rsid w:val="11733C86"/>
    <w:rsid w:val="118972A0"/>
    <w:rsid w:val="122A4C8C"/>
    <w:rsid w:val="127F48AC"/>
    <w:rsid w:val="12B47ECF"/>
    <w:rsid w:val="13A164A9"/>
    <w:rsid w:val="17082951"/>
    <w:rsid w:val="1735369E"/>
    <w:rsid w:val="177F1745"/>
    <w:rsid w:val="18E624DF"/>
    <w:rsid w:val="1994024C"/>
    <w:rsid w:val="19C43899"/>
    <w:rsid w:val="19CF3052"/>
    <w:rsid w:val="1A017588"/>
    <w:rsid w:val="1C08580C"/>
    <w:rsid w:val="1C8279A5"/>
    <w:rsid w:val="1CA14CD8"/>
    <w:rsid w:val="1CC26B7B"/>
    <w:rsid w:val="1E006642"/>
    <w:rsid w:val="1E8410C1"/>
    <w:rsid w:val="1F4D30F9"/>
    <w:rsid w:val="1F4F4244"/>
    <w:rsid w:val="1FBB5FF7"/>
    <w:rsid w:val="20CA13E8"/>
    <w:rsid w:val="21AF6E2B"/>
    <w:rsid w:val="21F941EE"/>
    <w:rsid w:val="2202056A"/>
    <w:rsid w:val="22031DFD"/>
    <w:rsid w:val="228A5503"/>
    <w:rsid w:val="22A17591"/>
    <w:rsid w:val="22F028ED"/>
    <w:rsid w:val="23737B15"/>
    <w:rsid w:val="24EE18E8"/>
    <w:rsid w:val="251B7070"/>
    <w:rsid w:val="2583392A"/>
    <w:rsid w:val="26190E48"/>
    <w:rsid w:val="26553C9C"/>
    <w:rsid w:val="27B1094A"/>
    <w:rsid w:val="27C962B0"/>
    <w:rsid w:val="283E277E"/>
    <w:rsid w:val="290F1DCD"/>
    <w:rsid w:val="2AC84BEB"/>
    <w:rsid w:val="2AE6004C"/>
    <w:rsid w:val="2B08007B"/>
    <w:rsid w:val="2BB97DE5"/>
    <w:rsid w:val="2BD1110F"/>
    <w:rsid w:val="2C412EA7"/>
    <w:rsid w:val="2CB371D5"/>
    <w:rsid w:val="2CBC0661"/>
    <w:rsid w:val="2DC45B3D"/>
    <w:rsid w:val="2E516CA5"/>
    <w:rsid w:val="2E6A3E61"/>
    <w:rsid w:val="2E852ACB"/>
    <w:rsid w:val="2E927A70"/>
    <w:rsid w:val="2E974EFA"/>
    <w:rsid w:val="2FF70881"/>
    <w:rsid w:val="30793699"/>
    <w:rsid w:val="31325BAD"/>
    <w:rsid w:val="31D2430F"/>
    <w:rsid w:val="326104CC"/>
    <w:rsid w:val="32925AEB"/>
    <w:rsid w:val="32BD51E7"/>
    <w:rsid w:val="337C4DCC"/>
    <w:rsid w:val="33817890"/>
    <w:rsid w:val="33C05E37"/>
    <w:rsid w:val="34B3500C"/>
    <w:rsid w:val="34F5736F"/>
    <w:rsid w:val="353D7F83"/>
    <w:rsid w:val="35435526"/>
    <w:rsid w:val="35614B1E"/>
    <w:rsid w:val="364C6EB7"/>
    <w:rsid w:val="365A3DFE"/>
    <w:rsid w:val="366E46A5"/>
    <w:rsid w:val="37723308"/>
    <w:rsid w:val="37C329C2"/>
    <w:rsid w:val="37C56D30"/>
    <w:rsid w:val="38BE7ED1"/>
    <w:rsid w:val="38C87EA5"/>
    <w:rsid w:val="391E6D2F"/>
    <w:rsid w:val="3A3245F4"/>
    <w:rsid w:val="3A6B7318"/>
    <w:rsid w:val="3A8F74D3"/>
    <w:rsid w:val="3B9A612F"/>
    <w:rsid w:val="3C4B3E31"/>
    <w:rsid w:val="3D606287"/>
    <w:rsid w:val="3DC32960"/>
    <w:rsid w:val="3E4E607E"/>
    <w:rsid w:val="3F0A549F"/>
    <w:rsid w:val="3F8346B3"/>
    <w:rsid w:val="402E32EA"/>
    <w:rsid w:val="40E02183"/>
    <w:rsid w:val="41753B28"/>
    <w:rsid w:val="41BE24F6"/>
    <w:rsid w:val="42674045"/>
    <w:rsid w:val="42E65623"/>
    <w:rsid w:val="42FB27EA"/>
    <w:rsid w:val="435722DB"/>
    <w:rsid w:val="43FE2557"/>
    <w:rsid w:val="44521F12"/>
    <w:rsid w:val="446928EF"/>
    <w:rsid w:val="454119B1"/>
    <w:rsid w:val="454C313F"/>
    <w:rsid w:val="4651388E"/>
    <w:rsid w:val="47A06CAF"/>
    <w:rsid w:val="47D227B4"/>
    <w:rsid w:val="485564D9"/>
    <w:rsid w:val="48603473"/>
    <w:rsid w:val="49A903D6"/>
    <w:rsid w:val="4A4C1EF3"/>
    <w:rsid w:val="4AB81E31"/>
    <w:rsid w:val="4AC73866"/>
    <w:rsid w:val="4B7151A0"/>
    <w:rsid w:val="4B902472"/>
    <w:rsid w:val="4BDF466D"/>
    <w:rsid w:val="4C460715"/>
    <w:rsid w:val="4D8F1C0E"/>
    <w:rsid w:val="4DD75270"/>
    <w:rsid w:val="4DF71BCA"/>
    <w:rsid w:val="4F2D28A9"/>
    <w:rsid w:val="4F7056C8"/>
    <w:rsid w:val="4F93167D"/>
    <w:rsid w:val="4FFB188B"/>
    <w:rsid w:val="50905ED5"/>
    <w:rsid w:val="510C4F82"/>
    <w:rsid w:val="515A1EC7"/>
    <w:rsid w:val="51672DC1"/>
    <w:rsid w:val="516B24AC"/>
    <w:rsid w:val="53AC627D"/>
    <w:rsid w:val="53CE2D4F"/>
    <w:rsid w:val="541612B2"/>
    <w:rsid w:val="54320AA8"/>
    <w:rsid w:val="545D7D13"/>
    <w:rsid w:val="54B90F7D"/>
    <w:rsid w:val="55720B30"/>
    <w:rsid w:val="573B2994"/>
    <w:rsid w:val="585C0E24"/>
    <w:rsid w:val="586E3BA6"/>
    <w:rsid w:val="58C92247"/>
    <w:rsid w:val="58D311FD"/>
    <w:rsid w:val="592D3CE7"/>
    <w:rsid w:val="59384D8C"/>
    <w:rsid w:val="5B9E711E"/>
    <w:rsid w:val="5BA96DEC"/>
    <w:rsid w:val="5D2673CB"/>
    <w:rsid w:val="5F54361A"/>
    <w:rsid w:val="5FD12C4B"/>
    <w:rsid w:val="601B62DD"/>
    <w:rsid w:val="60290DB0"/>
    <w:rsid w:val="60FF2E91"/>
    <w:rsid w:val="61B76C5D"/>
    <w:rsid w:val="627B5AE9"/>
    <w:rsid w:val="63B22726"/>
    <w:rsid w:val="649D15AD"/>
    <w:rsid w:val="656849C7"/>
    <w:rsid w:val="673162C4"/>
    <w:rsid w:val="673C1F7B"/>
    <w:rsid w:val="6834699D"/>
    <w:rsid w:val="6A8936E0"/>
    <w:rsid w:val="6B3D2D2F"/>
    <w:rsid w:val="6B887679"/>
    <w:rsid w:val="6BCE41AD"/>
    <w:rsid w:val="6C43114B"/>
    <w:rsid w:val="6C4F3164"/>
    <w:rsid w:val="6CDD36FF"/>
    <w:rsid w:val="6E1B4102"/>
    <w:rsid w:val="6E417B7F"/>
    <w:rsid w:val="6E5271B9"/>
    <w:rsid w:val="6EEB5D7F"/>
    <w:rsid w:val="6F097B34"/>
    <w:rsid w:val="6F5B7EBE"/>
    <w:rsid w:val="6FD9207B"/>
    <w:rsid w:val="702D5004"/>
    <w:rsid w:val="703053DA"/>
    <w:rsid w:val="711263FC"/>
    <w:rsid w:val="719D2EA2"/>
    <w:rsid w:val="71E82F09"/>
    <w:rsid w:val="723B156F"/>
    <w:rsid w:val="72EF1DDB"/>
    <w:rsid w:val="736A42F3"/>
    <w:rsid w:val="74626AE3"/>
    <w:rsid w:val="74727808"/>
    <w:rsid w:val="747C45EE"/>
    <w:rsid w:val="74F96A4D"/>
    <w:rsid w:val="767B0330"/>
    <w:rsid w:val="76D11CFE"/>
    <w:rsid w:val="77390431"/>
    <w:rsid w:val="77B66A76"/>
    <w:rsid w:val="780D31B7"/>
    <w:rsid w:val="787F7085"/>
    <w:rsid w:val="79917593"/>
    <w:rsid w:val="799442DD"/>
    <w:rsid w:val="79F063B9"/>
    <w:rsid w:val="7A5D1D8F"/>
    <w:rsid w:val="7ACF33EC"/>
    <w:rsid w:val="7AD1051F"/>
    <w:rsid w:val="7B4D3C62"/>
    <w:rsid w:val="7B503B39"/>
    <w:rsid w:val="7C8E7010"/>
    <w:rsid w:val="7CDE3D4D"/>
    <w:rsid w:val="7D6222E9"/>
    <w:rsid w:val="7D823B37"/>
    <w:rsid w:val="7DA2123B"/>
    <w:rsid w:val="7DC64B18"/>
    <w:rsid w:val="7F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semiHidden/>
    <w:unhideWhenUsed/>
    <w:qFormat/>
    <w:uiPriority w:val="99"/>
    <w:pPr>
      <w:jc w:val="left"/>
    </w:pPr>
  </w:style>
  <w:style w:type="paragraph" w:styleId="4">
    <w:name w:val="Date"/>
    <w:basedOn w:val="1"/>
    <w:next w:val="1"/>
    <w:link w:val="25"/>
    <w:autoRedefine/>
    <w:semiHidden/>
    <w:unhideWhenUsed/>
    <w:qFormat/>
    <w:uiPriority w:val="99"/>
    <w:pPr>
      <w:ind w:left="100" w:leftChars="2500"/>
    </w:pPr>
  </w:style>
  <w:style w:type="paragraph" w:styleId="5">
    <w:name w:val="Balloon Text"/>
    <w:basedOn w:val="1"/>
    <w:link w:val="22"/>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7"/>
    <w:autoRedefine/>
    <w:qFormat/>
    <w:uiPriority w:val="0"/>
    <w:pPr>
      <w:spacing w:before="100" w:beforeAutospacing="1" w:after="100" w:afterAutospacing="1"/>
      <w:jc w:val="center"/>
      <w:outlineLvl w:val="1"/>
    </w:pPr>
    <w:rPr>
      <w:rFonts w:ascii="Cambria" w:hAnsi="Cambria" w:cs="Times New Roman"/>
      <w:b/>
      <w:bCs/>
      <w:kern w:val="28"/>
      <w:sz w:val="36"/>
      <w:szCs w:val="32"/>
    </w:rPr>
  </w:style>
  <w:style w:type="paragraph" w:styleId="9">
    <w:name w:val="Normal (Web)"/>
    <w:basedOn w:val="1"/>
    <w:autoRedefine/>
    <w:semiHidden/>
    <w:qFormat/>
    <w:uiPriority w:val="0"/>
    <w:pPr>
      <w:widowControl/>
      <w:spacing w:before="100" w:beforeAutospacing="1" w:after="100" w:afterAutospacing="1"/>
      <w:jc w:val="left"/>
    </w:pPr>
    <w:rPr>
      <w:rFonts w:hint="eastAsia" w:ascii="宋体" w:hAnsi="宋体"/>
      <w:kern w:val="0"/>
      <w:sz w:val="24"/>
    </w:rPr>
  </w:style>
  <w:style w:type="paragraph" w:styleId="10">
    <w:name w:val="annotation subject"/>
    <w:basedOn w:val="3"/>
    <w:next w:val="3"/>
    <w:link w:val="24"/>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annotation reference"/>
    <w:basedOn w:val="13"/>
    <w:autoRedefine/>
    <w:semiHidden/>
    <w:unhideWhenUsed/>
    <w:qFormat/>
    <w:uiPriority w:val="99"/>
    <w:rPr>
      <w:sz w:val="21"/>
      <w:szCs w:val="21"/>
    </w:rPr>
  </w:style>
  <w:style w:type="character" w:customStyle="1" w:styleId="16">
    <w:name w:val="页眉 字符"/>
    <w:basedOn w:val="13"/>
    <w:link w:val="7"/>
    <w:autoRedefine/>
    <w:qFormat/>
    <w:uiPriority w:val="0"/>
    <w:rPr>
      <w:sz w:val="18"/>
      <w:szCs w:val="18"/>
    </w:rPr>
  </w:style>
  <w:style w:type="character" w:customStyle="1" w:styleId="17">
    <w:name w:val="页脚 字符"/>
    <w:basedOn w:val="13"/>
    <w:link w:val="6"/>
    <w:autoRedefine/>
    <w:qFormat/>
    <w:uiPriority w:val="99"/>
    <w:rPr>
      <w:sz w:val="18"/>
      <w:szCs w:val="18"/>
    </w:rPr>
  </w:style>
  <w:style w:type="paragraph" w:styleId="18">
    <w:name w:val="List Paragraph"/>
    <w:basedOn w:val="1"/>
    <w:autoRedefine/>
    <w:qFormat/>
    <w:uiPriority w:val="99"/>
    <w:pPr>
      <w:ind w:firstLine="420" w:firstLineChars="200"/>
    </w:pPr>
  </w:style>
  <w:style w:type="paragraph" w:customStyle="1" w:styleId="19">
    <w:name w:val="t_alignc font_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MSG_EN_FONT_STYLE_NAME_TEMPLATE_ROLE_NUMBER MSG_EN_FONT_STYLE_NAME_BY_ROLE_TEXT 2_"/>
    <w:basedOn w:val="13"/>
    <w:link w:val="21"/>
    <w:autoRedefine/>
    <w:unhideWhenUsed/>
    <w:qFormat/>
    <w:locked/>
    <w:uiPriority w:val="99"/>
    <w:rPr>
      <w:rFonts w:ascii="PMingLiU" w:hAnsi="Times New Roman" w:eastAsia="PMingLiU" w:cs="Times New Roman"/>
      <w:color w:val="000000"/>
      <w:kern w:val="0"/>
      <w:sz w:val="32"/>
    </w:rPr>
  </w:style>
  <w:style w:type="paragraph" w:customStyle="1" w:styleId="21">
    <w:name w:val="MSG_EN_FONT_STYLE_NAME_TEMPLATE_ROLE_NUMBER MSG_EN_FONT_STYLE_NAME_BY_ROLE_TEXT 2"/>
    <w:basedOn w:val="1"/>
    <w:link w:val="20"/>
    <w:autoRedefine/>
    <w:unhideWhenUsed/>
    <w:qFormat/>
    <w:uiPriority w:val="99"/>
    <w:pPr>
      <w:shd w:val="clear" w:color="auto" w:fill="FFFFFF"/>
      <w:spacing w:line="454" w:lineRule="exact"/>
      <w:ind w:firstLine="680"/>
      <w:jc w:val="left"/>
    </w:pPr>
    <w:rPr>
      <w:rFonts w:ascii="PMingLiU" w:hAnsi="Times New Roman" w:eastAsia="PMingLiU" w:cs="Times New Roman"/>
      <w:color w:val="000000"/>
      <w:kern w:val="0"/>
      <w:sz w:val="32"/>
    </w:rPr>
  </w:style>
  <w:style w:type="character" w:customStyle="1" w:styleId="22">
    <w:name w:val="批注框文本 字符"/>
    <w:basedOn w:val="13"/>
    <w:link w:val="5"/>
    <w:autoRedefine/>
    <w:semiHidden/>
    <w:qFormat/>
    <w:uiPriority w:val="99"/>
    <w:rPr>
      <w:rFonts w:asciiTheme="minorHAnsi" w:hAnsiTheme="minorHAnsi" w:eastAsiaTheme="minorEastAsia" w:cstheme="minorBidi"/>
      <w:kern w:val="2"/>
      <w:sz w:val="18"/>
      <w:szCs w:val="18"/>
    </w:rPr>
  </w:style>
  <w:style w:type="character" w:customStyle="1" w:styleId="23">
    <w:name w:val="批注文字 字符"/>
    <w:basedOn w:val="13"/>
    <w:link w:val="3"/>
    <w:autoRedefine/>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10"/>
    <w:autoRedefine/>
    <w:semiHidden/>
    <w:qFormat/>
    <w:uiPriority w:val="99"/>
    <w:rPr>
      <w:rFonts w:asciiTheme="minorHAnsi" w:hAnsiTheme="minorHAnsi" w:eastAsiaTheme="minorEastAsia" w:cstheme="minorBidi"/>
      <w:b/>
      <w:bCs/>
      <w:kern w:val="2"/>
      <w:sz w:val="21"/>
      <w:szCs w:val="22"/>
    </w:rPr>
  </w:style>
  <w:style w:type="character" w:customStyle="1" w:styleId="25">
    <w:name w:val="日期 字符"/>
    <w:basedOn w:val="13"/>
    <w:link w:val="4"/>
    <w:autoRedefine/>
    <w:semiHidden/>
    <w:qFormat/>
    <w:uiPriority w:val="99"/>
    <w:rPr>
      <w:rFonts w:asciiTheme="minorHAnsi" w:hAnsiTheme="minorHAnsi" w:eastAsiaTheme="minorEastAsia" w:cstheme="minorBidi"/>
      <w:kern w:val="2"/>
      <w:sz w:val="21"/>
      <w:szCs w:val="22"/>
    </w:rPr>
  </w:style>
  <w:style w:type="character" w:customStyle="1" w:styleId="26">
    <w:name w:val="标题 1 字符"/>
    <w:basedOn w:val="13"/>
    <w:link w:val="2"/>
    <w:autoRedefine/>
    <w:qFormat/>
    <w:uiPriority w:val="9"/>
    <w:rPr>
      <w:rFonts w:asciiTheme="minorHAnsi" w:hAnsiTheme="minorHAnsi" w:eastAsiaTheme="minorEastAsia" w:cstheme="minorBidi"/>
      <w:b/>
      <w:bCs/>
      <w:kern w:val="44"/>
      <w:sz w:val="44"/>
      <w:szCs w:val="44"/>
    </w:rPr>
  </w:style>
  <w:style w:type="character" w:customStyle="1" w:styleId="27">
    <w:name w:val="副标题 字符"/>
    <w:basedOn w:val="13"/>
    <w:link w:val="8"/>
    <w:autoRedefine/>
    <w:qFormat/>
    <w:uiPriority w:val="0"/>
    <w:rPr>
      <w:rFonts w:ascii="Cambria" w:hAnsi="Cambria" w:eastAsiaTheme="minorEastAsia"/>
      <w:b/>
      <w:bCs/>
      <w:kern w:val="28"/>
      <w:sz w:val="36"/>
      <w:szCs w:val="32"/>
    </w:rPr>
  </w:style>
  <w:style w:type="paragraph" w:customStyle="1" w:styleId="28">
    <w:name w:val="大标题"/>
    <w:basedOn w:val="1"/>
    <w:autoRedefine/>
    <w:qFormat/>
    <w:uiPriority w:val="0"/>
    <w:pPr>
      <w:spacing w:after="100" w:afterAutospacing="1" w:line="520" w:lineRule="exact"/>
      <w:jc w:val="center"/>
      <w:outlineLvl w:val="0"/>
    </w:pPr>
    <w:rPr>
      <w:rFonts w:ascii="宋体" w:hAnsi="宋体" w:eastAsia="宋体" w:cs="宋体"/>
      <w:b/>
      <w:color w:val="000000" w:themeColor="text1"/>
      <w:sz w:val="44"/>
      <w:szCs w:val="44"/>
      <w14:textFill>
        <w14:solidFill>
          <w14:schemeClr w14:val="tx1"/>
        </w14:solidFill>
      </w14:textFill>
    </w:rPr>
  </w:style>
  <w:style w:type="paragraph" w:styleId="29">
    <w:name w:val="No Spacing"/>
    <w:autoRedefine/>
    <w:qFormat/>
    <w:uiPriority w:val="1"/>
    <w:pPr>
      <w:widowControl w:val="0"/>
      <w:ind w:left="525" w:leftChars="250"/>
      <w:jc w:val="both"/>
    </w:pPr>
    <w:rPr>
      <w:rFonts w:ascii="宋体" w:hAnsi="宋体" w:eastAsiaTheme="minorEastAsia" w:cstheme="minorBidi"/>
      <w:kern w:val="2"/>
      <w:sz w:val="28"/>
      <w:szCs w:val="28"/>
      <w:lang w:val="en-US" w:eastAsia="zh-CN" w:bidi="ar-SA"/>
    </w:rPr>
  </w:style>
  <w:style w:type="paragraph" w:customStyle="1" w:styleId="30">
    <w:name w:val="条文说明"/>
    <w:basedOn w:val="1"/>
    <w:autoRedefine/>
    <w:qFormat/>
    <w:uiPriority w:val="0"/>
    <w:pPr>
      <w:snapToGrid w:val="0"/>
      <w:ind w:firstLine="200"/>
    </w:pPr>
    <w:rPr>
      <w:rFonts w:eastAsia="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03DAC-6A8F-4626-BA45-35BA8633D5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2585</Words>
  <Characters>14737</Characters>
  <Lines>122</Lines>
  <Paragraphs>34</Paragraphs>
  <TotalTime>143</TotalTime>
  <ScaleCrop>false</ScaleCrop>
  <LinksUpToDate>false</LinksUpToDate>
  <CharactersWithSpaces>17288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2024-01-02T07:20:00Z</dcterms:created>
  <dc:creator>Administrator</dc:creator>
  <cp:lastModifiedBy>白爽</cp:lastModifiedBy>
  <cp:lastPrinted>2022-05-27T07:40:00Z</cp:lastPrinted>
  <dcterms:modified xsi:type="dcterms:W3CDTF">2024-04-22T06:47:48Z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6D1F07769AC043D490E6220463E42D10_13</vt:lpwstr>
  </property>
</Properties>
</file>